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263456" w14:paraId="131B86C3" w14:textId="77777777" w:rsidTr="00C848FF">
        <w:trPr>
          <w:trHeight w:val="652"/>
          <w:jc w:val="center"/>
        </w:trPr>
        <w:tc>
          <w:tcPr>
            <w:tcW w:w="3335" w:type="dxa"/>
            <w:tcBorders>
              <w:right w:val="single" w:sz="4" w:space="0" w:color="44546A" w:themeColor="text2"/>
            </w:tcBorders>
            <w:shd w:val="clear" w:color="auto" w:fill="1F3864" w:themeFill="accent1" w:themeFillShade="80"/>
          </w:tcPr>
          <w:p w14:paraId="2D6DC80C"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18085A78" w14:textId="2911A185" w:rsidR="00263456" w:rsidRPr="00906B87" w:rsidRDefault="00263456" w:rsidP="00263456">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A36CCA">
              <w:rPr>
                <w:rFonts w:cs="Arial"/>
                <w:color w:val="FFFFFF" w:themeColor="background1"/>
                <w:sz w:val="32"/>
                <w:szCs w:val="32"/>
                <w:shd w:val="clear" w:color="auto" w:fill="1F3864" w:themeFill="accent1" w:themeFillShade="80"/>
                <w:lang w:val="en-US"/>
              </w:rPr>
              <w:t>contribution</w:t>
            </w:r>
          </w:p>
          <w:p w14:paraId="53B8847D" w14:textId="6BC8F914"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B163715"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6B26AC0C" w14:textId="2CA080AA" w:rsidR="00742FA8" w:rsidRDefault="00263456" w:rsidP="00263456">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2D61AB">
              <w:rPr>
                <w:rFonts w:cs="Arial"/>
                <w:color w:val="FFFFFF" w:themeColor="background1"/>
                <w:sz w:val="32"/>
                <w:szCs w:val="32"/>
                <w:shd w:val="clear" w:color="auto" w:fill="1F3864" w:themeFill="accent1" w:themeFillShade="80"/>
                <w:lang w:val="en-US"/>
              </w:rPr>
              <w:t>5</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9644F3" w14:paraId="425D15D4" w14:textId="77777777" w:rsidTr="00C848FF">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263456" w:rsidRDefault="005728A3" w:rsidP="005728A3">
            <w:pPr>
              <w:jc w:val="right"/>
              <w:rPr>
                <w:rFonts w:cstheme="minorHAnsi"/>
                <w:b/>
                <w:bCs/>
                <w:color w:val="002060"/>
                <w:sz w:val="28"/>
                <w:szCs w:val="28"/>
                <w:lang w:val="en-US"/>
              </w:rPr>
            </w:pPr>
            <w:r w:rsidRPr="00263456">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C848FF">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560F890B" w:rsidR="006D3771" w:rsidRPr="008B6B20" w:rsidRDefault="00D657E4" w:rsidP="006D3771">
            <w:pPr>
              <w:jc w:val="center"/>
              <w:rPr>
                <w:sz w:val="32"/>
                <w:szCs w:val="32"/>
                <w:lang w:val="en-GB"/>
              </w:rPr>
            </w:pPr>
            <w:r>
              <w:rPr>
                <w:sz w:val="32"/>
                <w:szCs w:val="32"/>
                <w:lang w:val="en-GB"/>
              </w:rPr>
              <w:t>Poland</w:t>
            </w:r>
          </w:p>
          <w:p w14:paraId="1EE0812F" w14:textId="73DF6167" w:rsidR="006D3771" w:rsidRDefault="006D3771">
            <w:pPr>
              <w:rPr>
                <w:lang w:val="en-US"/>
              </w:rPr>
            </w:pPr>
          </w:p>
        </w:tc>
      </w:tr>
    </w:tbl>
    <w:p w14:paraId="30D2EC4D" w14:textId="77777777" w:rsidR="001A0B36" w:rsidRDefault="001A0B36">
      <w:pPr>
        <w:rPr>
          <w:rFonts w:cs="Arial"/>
          <w:color w:val="FFFFFF" w:themeColor="background1"/>
          <w:sz w:val="22"/>
          <w:szCs w:val="22"/>
          <w:shd w:val="clear" w:color="auto" w:fill="1F3864" w:themeFill="accent1" w:themeFillShade="80"/>
          <w:lang w:val="en-GB"/>
        </w:rPr>
      </w:pPr>
    </w:p>
    <w:p w14:paraId="2ADAF512" w14:textId="77777777" w:rsidR="008B6B20" w:rsidRPr="00574B1E" w:rsidRDefault="008B6B20" w:rsidP="008B6B20">
      <w:pPr>
        <w:keepNext/>
        <w:spacing w:before="320"/>
        <w:outlineLvl w:val="0"/>
        <w:rPr>
          <w:rFonts w:ascii="Calibri Light" w:eastAsia="Times New Roman" w:hAnsi="Calibri Light" w:cs="Calibri Light"/>
          <w:color w:val="2F5496"/>
          <w:kern w:val="36"/>
          <w:sz w:val="32"/>
          <w:szCs w:val="32"/>
          <w:lang w:val="en-US"/>
        </w:rPr>
      </w:pPr>
      <w:r w:rsidRPr="00574B1E">
        <w:rPr>
          <w:rFonts w:ascii="Calibri Light" w:eastAsia="Times New Roman" w:hAnsi="Calibri Light" w:cs="Calibri Light"/>
          <w:color w:val="2F5496"/>
          <w:kern w:val="36"/>
          <w:sz w:val="32"/>
          <w:szCs w:val="32"/>
          <w:lang w:val="en-US"/>
        </w:rPr>
        <w:t xml:space="preserve">I Justice System </w:t>
      </w:r>
    </w:p>
    <w:p w14:paraId="2CF8867C" w14:textId="77777777" w:rsidR="008B6B20" w:rsidRPr="00574B1E" w:rsidRDefault="008B6B20" w:rsidP="008B6B20">
      <w:pPr>
        <w:autoSpaceDE w:val="0"/>
        <w:autoSpaceDN w:val="0"/>
        <w:rPr>
          <w:rFonts w:ascii="Calibri" w:hAnsi="Calibri" w:cs="Calibri"/>
          <w:lang w:val="en-US"/>
        </w:rPr>
      </w:pPr>
    </w:p>
    <w:p w14:paraId="554C1FCF" w14:textId="77777777" w:rsidR="008B6B20" w:rsidRPr="00574B1E" w:rsidRDefault="008B6B20" w:rsidP="008B6B20">
      <w:pPr>
        <w:autoSpaceDE w:val="0"/>
        <w:autoSpaceDN w:val="0"/>
        <w:jc w:val="both"/>
        <w:rPr>
          <w:rFonts w:ascii="Calibri" w:hAnsi="Calibri" w:cs="Calibri"/>
          <w:color w:val="000000"/>
          <w:lang w:val="en-US"/>
        </w:rPr>
      </w:pPr>
      <w:r w:rsidRPr="00574B1E">
        <w:rPr>
          <w:rFonts w:ascii="Calibri" w:hAnsi="Calibri" w:cs="Calibri"/>
          <w:color w:val="000000"/>
          <w:lang w:val="en-US"/>
        </w:rPr>
        <w:t xml:space="preserve">The European Commission for the Efficiency of Justice (CEPEJ) regularly collects data on judicial systems concerning efficiency and quality of the justice system. </w:t>
      </w:r>
    </w:p>
    <w:p w14:paraId="646D1D17"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574B1E">
        <w:rPr>
          <w:rFonts w:ascii="Calibri" w:hAnsi="Calibri" w:cs="Calibri"/>
          <w:color w:val="000000"/>
          <w:lang w:val="en-US"/>
        </w:rPr>
        <w:t xml:space="preserve">In 2024, 2022 data have been collected, quality checked and the CEPEJ </w:t>
      </w:r>
      <w:r w:rsidRPr="0003402A">
        <w:rPr>
          <w:rFonts w:ascii="Calibri" w:hAnsi="Calibri" w:cs="Calibri"/>
          <w:color w:val="000000"/>
          <w:lang w:val="en-US"/>
        </w:rPr>
        <w:t>European Judicial Systems Evaluation Report (</w:t>
      </w:r>
      <w:hyperlink r:id="rId9" w:history="1">
        <w:r w:rsidRPr="0003402A">
          <w:rPr>
            <w:rFonts w:ascii="Calibri" w:hAnsi="Calibri" w:cs="Calibri"/>
            <w:color w:val="0563C1"/>
            <w:u w:val="single"/>
            <w:lang w:val="en-US"/>
          </w:rPr>
          <w:t>General analyses</w:t>
        </w:r>
      </w:hyperlink>
      <w:r w:rsidRPr="0003402A">
        <w:rPr>
          <w:rFonts w:ascii="Calibri" w:hAnsi="Calibri" w:cs="Calibri"/>
          <w:color w:val="000000"/>
          <w:lang w:val="en-US"/>
        </w:rPr>
        <w:t xml:space="preserve"> and  </w:t>
      </w:r>
      <w:hyperlink r:id="rId10" w:history="1">
        <w:r w:rsidRPr="0003402A">
          <w:rPr>
            <w:rFonts w:ascii="Calibri" w:hAnsi="Calibri" w:cs="Calibri"/>
            <w:color w:val="0563C1"/>
            <w:u w:val="single"/>
            <w:lang w:val="en-US"/>
          </w:rPr>
          <w:t>CEPEJ-STAT database</w:t>
        </w:r>
      </w:hyperlink>
      <w:r w:rsidRPr="0003402A">
        <w:rPr>
          <w:rFonts w:ascii="Calibri" w:hAnsi="Calibri" w:cs="Calibri"/>
          <w:color w:val="000000"/>
          <w:lang w:val="en-US"/>
        </w:rPr>
        <w:t xml:space="preserve">) was </w:t>
      </w:r>
      <w:r w:rsidRPr="00574B1E">
        <w:rPr>
          <w:rFonts w:ascii="Calibri" w:hAnsi="Calibri" w:cs="Calibri"/>
          <w:color w:val="000000"/>
          <w:lang w:val="en-US"/>
        </w:rPr>
        <w:t xml:space="preserve">published. </w:t>
      </w:r>
      <w:r w:rsidRPr="0003402A">
        <w:rPr>
          <w:rFonts w:ascii="Calibri" w:hAnsi="Calibri" w:cs="Calibri"/>
          <w:color w:val="000000"/>
          <w:lang w:val="en-US"/>
        </w:rPr>
        <w:t xml:space="preserve">This report also includes </w:t>
      </w:r>
      <w:r w:rsidRPr="00574B1E">
        <w:rPr>
          <w:rFonts w:ascii="Calibri" w:hAnsi="Calibri" w:cs="Calibri"/>
          <w:color w:val="000000"/>
          <w:lang w:val="en-US"/>
        </w:rPr>
        <w:t xml:space="preserve">country profiles for each Council of Europe Member State, based on 2022 data. </w:t>
      </w:r>
    </w:p>
    <w:p w14:paraId="4901F3D7" w14:textId="396CAD35" w:rsidR="008B6B20" w:rsidRPr="00574B1E" w:rsidRDefault="00000000" w:rsidP="008B6B20">
      <w:pPr>
        <w:rPr>
          <w:rFonts w:ascii="Calibri" w:hAnsi="Calibri" w:cs="Calibri"/>
          <w:lang w:val="en-US"/>
        </w:rPr>
      </w:pPr>
      <w:hyperlink r:id="rId11" w:history="1">
        <w:r w:rsidR="00D657E4">
          <w:rPr>
            <w:rStyle w:val="Hyperlink"/>
            <w:rFonts w:ascii="Calibri" w:hAnsi="Calibri" w:cs="Calibri"/>
            <w:lang w:val="en-US"/>
          </w:rPr>
          <w:t>CEPEJ Evaluation Report - Country Profiles – Poland</w:t>
        </w:r>
      </w:hyperlink>
      <w:r w:rsidR="008B6B20" w:rsidRPr="00574B1E">
        <w:rPr>
          <w:rFonts w:ascii="Calibri" w:hAnsi="Calibri" w:cs="Calibri"/>
          <w:lang w:val="en-US"/>
        </w:rPr>
        <w:t xml:space="preserve"> </w:t>
      </w:r>
    </w:p>
    <w:p w14:paraId="6AF45BF0"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03402A">
        <w:rPr>
          <w:rFonts w:ascii="Calibri" w:hAnsi="Calibri" w:cs="Calibri"/>
          <w:color w:val="000000"/>
          <w:lang w:val="en-US"/>
        </w:rPr>
        <w:t xml:space="preserve">In addition, CEPEJ prepares Country profiles in the framework of the CEPEJ Study for the EU Justice Scoreboard. </w:t>
      </w:r>
    </w:p>
    <w:p w14:paraId="3B78086A" w14:textId="770588A6" w:rsidR="008B6B20" w:rsidRPr="00574B1E" w:rsidRDefault="00000000" w:rsidP="008B6B20">
      <w:pPr>
        <w:shd w:val="clear" w:color="auto" w:fill="FFFFFF"/>
        <w:spacing w:before="100" w:beforeAutospacing="1" w:after="100" w:afterAutospacing="1"/>
        <w:rPr>
          <w:rFonts w:ascii="Calibri" w:hAnsi="Calibri" w:cs="Calibri"/>
          <w:color w:val="161616"/>
          <w:lang w:val="en-US"/>
        </w:rPr>
      </w:pPr>
      <w:hyperlink r:id="rId12" w:history="1">
        <w:r w:rsidR="00D657E4">
          <w:rPr>
            <w:rStyle w:val="Hyperlink"/>
            <w:rFonts w:ascii="Calibri" w:hAnsi="Calibri" w:cs="Calibri"/>
            <w:lang w:val="en-US"/>
          </w:rPr>
          <w:t>CEPEJ Country fiche - Scoreboard - Poland (2022 data)</w:t>
        </w:r>
      </w:hyperlink>
    </w:p>
    <w:p w14:paraId="06E798A9" w14:textId="77777777" w:rsidR="008B6B20" w:rsidRPr="0003402A" w:rsidRDefault="008B6B20" w:rsidP="008B6B20">
      <w:pPr>
        <w:autoSpaceDE w:val="0"/>
        <w:autoSpaceDN w:val="0"/>
        <w:jc w:val="both"/>
        <w:rPr>
          <w:rFonts w:ascii="Calibri" w:hAnsi="Calibri" w:cs="Calibri"/>
          <w:color w:val="000000"/>
          <w:lang w:val="en-US"/>
        </w:rPr>
      </w:pPr>
      <w:r w:rsidRPr="0003402A">
        <w:rPr>
          <w:rFonts w:ascii="Calibri" w:hAnsi="Calibri" w:cs="Calibri"/>
          <w:color w:val="000000"/>
          <w:lang w:val="en-US"/>
        </w:rPr>
        <w:t>The 2023 data have been collected, quality checked and sent to DG-JUST in the framework of the 2025 EU Justice Scoreboard. The publication of the country profiles based on 2023 data will depend on final acceptation of the CEPEJ Study by DG-JUST. The CEPEJ Secretariat (</w:t>
      </w:r>
      <w:hyperlink r:id="rId13" w:history="1">
        <w:r w:rsidRPr="0003402A">
          <w:rPr>
            <w:rFonts w:ascii="Calibri" w:hAnsi="Calibri" w:cs="Calibri"/>
            <w:color w:val="0563C1"/>
            <w:u w:val="single"/>
            <w:lang w:val="en-US"/>
          </w:rPr>
          <w:t>christel.schurrer@coe.int</w:t>
        </w:r>
      </w:hyperlink>
      <w:r w:rsidRPr="0003402A">
        <w:rPr>
          <w:rFonts w:ascii="Calibri" w:hAnsi="Calibri" w:cs="Calibri"/>
          <w:color w:val="000000"/>
          <w:lang w:val="en-US"/>
        </w:rPr>
        <w:t xml:space="preserve">)  remains at the disposal of European Commission for any question related to these data. </w:t>
      </w:r>
    </w:p>
    <w:p w14:paraId="6F23B9FC" w14:textId="77777777" w:rsidR="008B6B20" w:rsidRDefault="008B6B20">
      <w:pPr>
        <w:rPr>
          <w:rFonts w:cs="Arial"/>
          <w:color w:val="FFFFFF" w:themeColor="background1"/>
          <w:sz w:val="22"/>
          <w:szCs w:val="22"/>
          <w:shd w:val="clear" w:color="auto" w:fill="1F3864" w:themeFill="accent1" w:themeFillShade="80"/>
          <w:lang w:val="en-US"/>
        </w:rPr>
      </w:pPr>
    </w:p>
    <w:p w14:paraId="03FB678E" w14:textId="412A206F" w:rsidR="0030207D" w:rsidRPr="0030207D" w:rsidRDefault="0030207D">
      <w:pPr>
        <w:rPr>
          <w:rFonts w:ascii="Calibri" w:eastAsiaTheme="minorHAnsi" w:hAnsi="Calibri" w:cs="Calibri"/>
          <w:lang w:val="en-US"/>
        </w:rPr>
      </w:pPr>
      <w:r w:rsidRPr="0030207D">
        <w:rPr>
          <w:rFonts w:ascii="Calibri" w:eastAsiaTheme="minorHAnsi" w:hAnsi="Calibri" w:cs="Calibri"/>
          <w:lang w:val="en-US"/>
        </w:rPr>
        <w:t>Venice Commission</w:t>
      </w:r>
    </w:p>
    <w:p w14:paraId="780CB2A0" w14:textId="77777777" w:rsidR="0030207D" w:rsidRDefault="0030207D">
      <w:pPr>
        <w:rPr>
          <w:rFonts w:cs="Arial"/>
          <w:color w:val="FFFFFF" w:themeColor="background1"/>
          <w:sz w:val="22"/>
          <w:szCs w:val="22"/>
          <w:shd w:val="clear" w:color="auto" w:fill="1F3864" w:themeFill="accent1" w:themeFillShade="80"/>
          <w:lang w:val="en-US"/>
        </w:rPr>
      </w:pPr>
    </w:p>
    <w:p w14:paraId="7B11FC72" w14:textId="77777777" w:rsidR="0030207D" w:rsidRPr="008B2AE3" w:rsidRDefault="00000000" w:rsidP="0030207D">
      <w:pPr>
        <w:pStyle w:val="Default"/>
        <w:keepNext/>
        <w:keepLines/>
        <w:rPr>
          <w:rFonts w:asciiTheme="minorHAnsi" w:hAnsiTheme="minorHAnsi" w:cstheme="minorHAnsi"/>
          <w:color w:val="auto"/>
          <w:sz w:val="20"/>
          <w:szCs w:val="20"/>
          <w:lang w:val="en-US"/>
        </w:rPr>
      </w:pPr>
      <w:hyperlink r:id="rId14" w:history="1">
        <w:r w:rsidR="0030207D" w:rsidRPr="008B2AE3">
          <w:rPr>
            <w:rStyle w:val="Hyperlink"/>
            <w:rFonts w:asciiTheme="minorHAnsi" w:hAnsiTheme="minorHAnsi" w:cstheme="minorHAnsi"/>
            <w:sz w:val="20"/>
            <w:szCs w:val="20"/>
            <w:lang w:val="en-US"/>
          </w:rPr>
          <w:t>CDL-</w:t>
        </w:r>
        <w:proofErr w:type="gramStart"/>
        <w:r w:rsidR="0030207D" w:rsidRPr="008B2AE3">
          <w:rPr>
            <w:rStyle w:val="Hyperlink"/>
            <w:rFonts w:asciiTheme="minorHAnsi" w:hAnsiTheme="minorHAnsi" w:cstheme="minorHAnsi"/>
            <w:sz w:val="20"/>
            <w:szCs w:val="20"/>
            <w:lang w:val="en-US"/>
          </w:rPr>
          <w:t>AD(</w:t>
        </w:r>
        <w:proofErr w:type="gramEnd"/>
        <w:r w:rsidR="0030207D" w:rsidRPr="008B2AE3">
          <w:rPr>
            <w:rStyle w:val="Hyperlink"/>
            <w:rFonts w:asciiTheme="minorHAnsi" w:hAnsiTheme="minorHAnsi" w:cstheme="minorHAnsi"/>
            <w:sz w:val="20"/>
            <w:szCs w:val="20"/>
            <w:lang w:val="en-US"/>
          </w:rPr>
          <w:t>2024)035-e</w:t>
        </w:r>
      </w:hyperlink>
    </w:p>
    <w:p w14:paraId="7C0E9C38" w14:textId="77777777" w:rsidR="0030207D" w:rsidRPr="008B2AE3" w:rsidRDefault="0030207D" w:rsidP="0030207D">
      <w:pPr>
        <w:pStyle w:val="Default"/>
        <w:ind w:left="12"/>
        <w:jc w:val="both"/>
        <w:rPr>
          <w:rFonts w:asciiTheme="minorHAnsi" w:hAnsiTheme="minorHAnsi" w:cstheme="minorHAnsi"/>
          <w:color w:val="auto"/>
          <w:sz w:val="20"/>
          <w:szCs w:val="20"/>
          <w:lang w:val="en-US"/>
        </w:rPr>
      </w:pPr>
      <w:r w:rsidRPr="008B2AE3">
        <w:rPr>
          <w:color w:val="auto"/>
          <w:sz w:val="20"/>
          <w:szCs w:val="20"/>
          <w:lang w:val="en-US"/>
        </w:rPr>
        <w:t>Opinion on the draft constitutional amendments concerning the Constitutional Tribunal and two draft laws on the Constitutional Tribunal</w:t>
      </w:r>
      <w:r w:rsidRPr="008B2AE3">
        <w:rPr>
          <w:rFonts w:asciiTheme="minorHAnsi" w:hAnsiTheme="minorHAnsi" w:cstheme="minorHAnsi"/>
          <w:color w:val="auto"/>
          <w:sz w:val="20"/>
          <w:szCs w:val="20"/>
          <w:lang w:val="en-US"/>
        </w:rPr>
        <w:t>, adopted by the Venice Commission at its 141st Plenary Session (Venice, 6-7 December 2024)</w:t>
      </w:r>
    </w:p>
    <w:p w14:paraId="578C0575" w14:textId="77777777" w:rsidR="0030207D" w:rsidRPr="00EA1B1F" w:rsidRDefault="0030207D" w:rsidP="0030207D">
      <w:pPr>
        <w:pStyle w:val="Default"/>
        <w:ind w:left="12"/>
        <w:jc w:val="both"/>
        <w:rPr>
          <w:rFonts w:asciiTheme="minorHAnsi" w:hAnsiTheme="minorHAnsi" w:cstheme="minorHAnsi"/>
          <w:color w:val="auto"/>
          <w:sz w:val="20"/>
          <w:szCs w:val="20"/>
          <w:lang w:val="en-US"/>
        </w:rPr>
      </w:pPr>
    </w:p>
    <w:p w14:paraId="31BA2FBF" w14:textId="77777777" w:rsidR="0030207D" w:rsidRPr="00A76534" w:rsidRDefault="00000000" w:rsidP="0030207D">
      <w:pPr>
        <w:pStyle w:val="Default"/>
        <w:ind w:left="12"/>
        <w:jc w:val="both"/>
        <w:rPr>
          <w:rStyle w:val="Hyperlink"/>
          <w:rFonts w:asciiTheme="minorHAnsi" w:hAnsiTheme="minorHAnsi" w:cstheme="minorHAnsi"/>
          <w:color w:val="auto"/>
          <w:sz w:val="20"/>
          <w:szCs w:val="20"/>
          <w:lang w:val="en-US"/>
        </w:rPr>
      </w:pPr>
      <w:hyperlink r:id="rId15" w:history="1">
        <w:r w:rsidR="0030207D" w:rsidRPr="00A76534">
          <w:rPr>
            <w:rStyle w:val="Hyperlink"/>
            <w:sz w:val="20"/>
            <w:szCs w:val="20"/>
            <w:lang w:val="en-GB"/>
          </w:rPr>
          <w:t>CDL-</w:t>
        </w:r>
        <w:proofErr w:type="gramStart"/>
        <w:r w:rsidR="0030207D" w:rsidRPr="00A76534">
          <w:rPr>
            <w:rStyle w:val="Hyperlink"/>
            <w:sz w:val="20"/>
            <w:szCs w:val="20"/>
            <w:lang w:val="en-GB"/>
          </w:rPr>
          <w:t>AD(</w:t>
        </w:r>
        <w:proofErr w:type="gramEnd"/>
        <w:r w:rsidR="0030207D" w:rsidRPr="00A76534">
          <w:rPr>
            <w:rStyle w:val="Hyperlink"/>
            <w:sz w:val="20"/>
            <w:szCs w:val="20"/>
            <w:lang w:val="en-GB"/>
          </w:rPr>
          <w:t>2024)034-e</w:t>
        </w:r>
      </w:hyperlink>
      <w:bookmarkStart w:id="0" w:name="_Toc187764572"/>
    </w:p>
    <w:p w14:paraId="4EC68ED9" w14:textId="77777777" w:rsidR="0030207D" w:rsidRDefault="0030207D" w:rsidP="0030207D">
      <w:pPr>
        <w:pStyle w:val="Default"/>
        <w:ind w:left="12"/>
        <w:jc w:val="both"/>
        <w:rPr>
          <w:rFonts w:asciiTheme="minorHAnsi" w:hAnsiTheme="minorHAnsi" w:cstheme="minorHAnsi"/>
          <w:color w:val="auto"/>
          <w:sz w:val="20"/>
          <w:szCs w:val="20"/>
          <w:lang w:val="en-US"/>
        </w:rPr>
      </w:pPr>
      <w:r w:rsidRPr="008B2AE3">
        <w:rPr>
          <w:color w:val="auto"/>
          <w:sz w:val="20"/>
          <w:szCs w:val="20"/>
          <w:lang w:val="en-US"/>
        </w:rPr>
        <w:t>Opinion on the draft amendments to the Law on the Public Prosecutor’s Office</w:t>
      </w:r>
      <w:bookmarkEnd w:id="0"/>
      <w:r w:rsidRPr="008B2AE3">
        <w:rPr>
          <w:rFonts w:asciiTheme="minorHAnsi" w:hAnsiTheme="minorHAnsi" w:cstheme="minorHAnsi"/>
          <w:color w:val="auto"/>
          <w:sz w:val="20"/>
          <w:szCs w:val="20"/>
          <w:lang w:val="en-US"/>
        </w:rPr>
        <w:t>, adopted by the Venice Commission at its 140th Plenary Session (Venice, 11-12 October 2024)</w:t>
      </w:r>
    </w:p>
    <w:p w14:paraId="45C3A8F4" w14:textId="77777777" w:rsidR="009644F3" w:rsidRDefault="009644F3" w:rsidP="0030207D">
      <w:pPr>
        <w:pStyle w:val="Default"/>
        <w:ind w:left="12"/>
        <w:jc w:val="both"/>
        <w:rPr>
          <w:rFonts w:asciiTheme="minorHAnsi" w:hAnsiTheme="minorHAnsi" w:cstheme="minorHAnsi"/>
          <w:color w:val="auto"/>
          <w:sz w:val="20"/>
          <w:szCs w:val="20"/>
          <w:lang w:val="en-US"/>
        </w:rPr>
      </w:pPr>
    </w:p>
    <w:p w14:paraId="62B51305" w14:textId="77777777" w:rsidR="009644F3" w:rsidRPr="008B2AE3" w:rsidRDefault="009644F3" w:rsidP="0030207D">
      <w:pPr>
        <w:pStyle w:val="Default"/>
        <w:ind w:left="12"/>
        <w:jc w:val="both"/>
        <w:rPr>
          <w:rFonts w:asciiTheme="minorHAnsi" w:hAnsiTheme="minorHAnsi" w:cstheme="minorHAnsi"/>
          <w:color w:val="auto"/>
          <w:sz w:val="20"/>
          <w:szCs w:val="20"/>
          <w:lang w:val="en-US"/>
        </w:rPr>
      </w:pPr>
    </w:p>
    <w:p w14:paraId="3262FA38" w14:textId="77777777" w:rsidR="0030207D" w:rsidRDefault="0030207D" w:rsidP="0030207D">
      <w:pPr>
        <w:pStyle w:val="Default"/>
        <w:ind w:left="12"/>
        <w:jc w:val="both"/>
        <w:rPr>
          <w:rFonts w:asciiTheme="minorHAnsi" w:hAnsiTheme="minorHAnsi" w:cstheme="minorHAnsi"/>
          <w:color w:val="auto"/>
          <w:sz w:val="20"/>
          <w:szCs w:val="20"/>
          <w:lang w:val="en-US"/>
        </w:rPr>
      </w:pPr>
    </w:p>
    <w:p w14:paraId="1A25F297" w14:textId="77777777" w:rsidR="0030207D" w:rsidRDefault="00000000" w:rsidP="0030207D">
      <w:pPr>
        <w:pStyle w:val="Default"/>
        <w:ind w:left="12"/>
        <w:jc w:val="both"/>
        <w:rPr>
          <w:rFonts w:asciiTheme="minorHAnsi" w:hAnsiTheme="minorHAnsi" w:cstheme="minorHAnsi"/>
          <w:color w:val="auto"/>
          <w:sz w:val="20"/>
          <w:szCs w:val="20"/>
          <w:lang w:val="en-US"/>
        </w:rPr>
      </w:pPr>
      <w:hyperlink r:id="rId16" w:history="1">
        <w:r w:rsidR="0030207D" w:rsidRPr="00EA1B1F">
          <w:rPr>
            <w:rStyle w:val="Hyperlink"/>
            <w:rFonts w:asciiTheme="minorHAnsi" w:hAnsiTheme="minorHAnsi" w:cstheme="minorHAnsi"/>
            <w:sz w:val="20"/>
            <w:szCs w:val="20"/>
            <w:lang w:val="en-US"/>
          </w:rPr>
          <w:t>CDL-</w:t>
        </w:r>
        <w:proofErr w:type="gramStart"/>
        <w:r w:rsidR="0030207D" w:rsidRPr="00EA1B1F">
          <w:rPr>
            <w:rStyle w:val="Hyperlink"/>
            <w:rFonts w:asciiTheme="minorHAnsi" w:hAnsiTheme="minorHAnsi" w:cstheme="minorHAnsi"/>
            <w:sz w:val="20"/>
            <w:szCs w:val="20"/>
            <w:lang w:val="en-US"/>
          </w:rPr>
          <w:t>PI(</w:t>
        </w:r>
        <w:proofErr w:type="gramEnd"/>
        <w:r w:rsidR="0030207D" w:rsidRPr="00EA1B1F">
          <w:rPr>
            <w:rStyle w:val="Hyperlink"/>
            <w:rFonts w:asciiTheme="minorHAnsi" w:hAnsiTheme="minorHAnsi" w:cstheme="minorHAnsi"/>
            <w:sz w:val="20"/>
            <w:szCs w:val="20"/>
            <w:lang w:val="en-US"/>
          </w:rPr>
          <w:t>2024)033</w:t>
        </w:r>
      </w:hyperlink>
      <w:r w:rsidR="0030207D" w:rsidRPr="00EA1B1F">
        <w:rPr>
          <w:rFonts w:asciiTheme="minorHAnsi" w:hAnsiTheme="minorHAnsi" w:cstheme="minorHAnsi"/>
          <w:color w:val="auto"/>
          <w:sz w:val="20"/>
          <w:szCs w:val="20"/>
          <w:lang w:val="en-US"/>
        </w:rPr>
        <w:t xml:space="preserve"> </w:t>
      </w:r>
    </w:p>
    <w:p w14:paraId="3CD83FD5" w14:textId="77777777" w:rsidR="0030207D" w:rsidRDefault="0030207D" w:rsidP="0030207D">
      <w:pPr>
        <w:pStyle w:val="Default"/>
        <w:ind w:left="12"/>
        <w:jc w:val="both"/>
        <w:rPr>
          <w:rFonts w:asciiTheme="minorHAnsi" w:hAnsiTheme="minorHAnsi" w:cstheme="minorHAnsi"/>
          <w:color w:val="auto"/>
          <w:sz w:val="20"/>
          <w:szCs w:val="20"/>
          <w:lang w:val="en-US"/>
        </w:rPr>
      </w:pPr>
      <w:r w:rsidRPr="00EA1B1F">
        <w:rPr>
          <w:rFonts w:asciiTheme="minorHAnsi" w:hAnsiTheme="minorHAnsi" w:cstheme="minorHAnsi"/>
          <w:color w:val="auto"/>
          <w:sz w:val="20"/>
          <w:szCs w:val="20"/>
          <w:lang w:val="en-US"/>
        </w:rPr>
        <w:t>Information on the follow-up to the Urgent Joint Opinion of the Venice Commission and the Directorate General of Human Rights and Rule of Law of the Council of Europe on the draft law amending the Law on the National Council of the Judiciary of Poland (CDL-</w:t>
      </w:r>
      <w:proofErr w:type="gramStart"/>
      <w:r w:rsidRPr="00EA1B1F">
        <w:rPr>
          <w:rFonts w:asciiTheme="minorHAnsi" w:hAnsiTheme="minorHAnsi" w:cstheme="minorHAnsi"/>
          <w:color w:val="auto"/>
          <w:sz w:val="20"/>
          <w:szCs w:val="20"/>
          <w:lang w:val="en-US"/>
        </w:rPr>
        <w:t>AD(</w:t>
      </w:r>
      <w:proofErr w:type="gramEnd"/>
      <w:r w:rsidRPr="00EA1B1F">
        <w:rPr>
          <w:rFonts w:asciiTheme="minorHAnsi" w:hAnsiTheme="minorHAnsi" w:cstheme="minorHAnsi"/>
          <w:color w:val="auto"/>
          <w:sz w:val="20"/>
          <w:szCs w:val="20"/>
          <w:lang w:val="en-US"/>
        </w:rPr>
        <w:t xml:space="preserve">2024)018), presented at the 140th Plenary Session (Venice, 11-12 October 2024) </w:t>
      </w:r>
    </w:p>
    <w:p w14:paraId="4F1591F7" w14:textId="77777777" w:rsidR="0030207D" w:rsidRPr="00EA1B1F" w:rsidRDefault="0030207D" w:rsidP="0030207D">
      <w:pPr>
        <w:pStyle w:val="Default"/>
        <w:ind w:left="12"/>
        <w:jc w:val="both"/>
        <w:rPr>
          <w:rFonts w:asciiTheme="minorHAnsi" w:hAnsiTheme="minorHAnsi" w:cstheme="minorHAnsi"/>
          <w:color w:val="auto"/>
          <w:sz w:val="20"/>
          <w:szCs w:val="20"/>
          <w:lang w:val="en-US"/>
        </w:rPr>
      </w:pPr>
    </w:p>
    <w:p w14:paraId="098D846E" w14:textId="77777777" w:rsidR="0030207D" w:rsidRPr="00A76534" w:rsidRDefault="00000000" w:rsidP="0030207D">
      <w:pPr>
        <w:pStyle w:val="Default"/>
        <w:ind w:left="12"/>
        <w:jc w:val="both"/>
        <w:rPr>
          <w:rStyle w:val="Hyperlink"/>
          <w:rFonts w:asciiTheme="minorHAnsi" w:hAnsiTheme="minorHAnsi" w:cstheme="minorHAnsi"/>
          <w:color w:val="auto"/>
          <w:sz w:val="20"/>
          <w:szCs w:val="20"/>
          <w:lang w:val="en-US"/>
        </w:rPr>
      </w:pPr>
      <w:hyperlink r:id="rId17" w:history="1">
        <w:r w:rsidR="0030207D" w:rsidRPr="00A76534">
          <w:rPr>
            <w:rStyle w:val="Hyperlink"/>
            <w:rFonts w:asciiTheme="minorHAnsi" w:hAnsiTheme="minorHAnsi" w:cstheme="minorHAnsi"/>
            <w:sz w:val="20"/>
            <w:szCs w:val="20"/>
            <w:lang w:val="en-US"/>
          </w:rPr>
          <w:t>CDL-</w:t>
        </w:r>
        <w:proofErr w:type="gramStart"/>
        <w:r w:rsidR="0030207D" w:rsidRPr="00A76534">
          <w:rPr>
            <w:rStyle w:val="Hyperlink"/>
            <w:rFonts w:asciiTheme="minorHAnsi" w:hAnsiTheme="minorHAnsi" w:cstheme="minorHAnsi"/>
            <w:sz w:val="20"/>
            <w:szCs w:val="20"/>
            <w:lang w:val="en-US"/>
          </w:rPr>
          <w:t>AD(</w:t>
        </w:r>
        <w:proofErr w:type="gramEnd"/>
        <w:r w:rsidR="0030207D" w:rsidRPr="00A76534">
          <w:rPr>
            <w:rStyle w:val="Hyperlink"/>
            <w:rFonts w:asciiTheme="minorHAnsi" w:hAnsiTheme="minorHAnsi" w:cstheme="minorHAnsi"/>
            <w:sz w:val="20"/>
            <w:szCs w:val="20"/>
            <w:lang w:val="en-US"/>
          </w:rPr>
          <w:t>2024)029-e</w:t>
        </w:r>
      </w:hyperlink>
      <w:bookmarkStart w:id="1" w:name="_Toc187764573"/>
    </w:p>
    <w:p w14:paraId="151E1F52" w14:textId="77777777" w:rsidR="0030207D" w:rsidRDefault="0030207D" w:rsidP="0030207D">
      <w:pPr>
        <w:pStyle w:val="Default"/>
        <w:ind w:left="12"/>
        <w:jc w:val="both"/>
        <w:rPr>
          <w:rFonts w:asciiTheme="minorHAnsi" w:hAnsiTheme="minorHAnsi" w:cstheme="minorHAnsi"/>
          <w:color w:val="auto"/>
          <w:sz w:val="20"/>
          <w:szCs w:val="20"/>
          <w:lang w:val="en-US"/>
        </w:rPr>
      </w:pPr>
      <w:r w:rsidRPr="008B2AE3">
        <w:rPr>
          <w:color w:val="auto"/>
          <w:sz w:val="20"/>
          <w:szCs w:val="20"/>
          <w:lang w:val="en-US"/>
        </w:rPr>
        <w:t>Joint Opinion of the Venice Commission and the Directorate General Human Rights and Rule of Law on European standards regulating the status of judges</w:t>
      </w:r>
      <w:bookmarkEnd w:id="1"/>
      <w:r w:rsidRPr="008B2AE3">
        <w:rPr>
          <w:rFonts w:asciiTheme="minorHAnsi" w:hAnsiTheme="minorHAnsi" w:cstheme="minorHAnsi"/>
          <w:color w:val="auto"/>
          <w:sz w:val="20"/>
          <w:szCs w:val="20"/>
          <w:lang w:val="en-US"/>
        </w:rPr>
        <w:t>, adopted by the Venice Commission at its 140th Plenary Session (Venice, 11-12 October 2024)</w:t>
      </w:r>
    </w:p>
    <w:p w14:paraId="3FA43879" w14:textId="77777777" w:rsidR="0030207D" w:rsidRDefault="0030207D" w:rsidP="0030207D">
      <w:pPr>
        <w:pStyle w:val="Default"/>
        <w:ind w:left="12"/>
        <w:jc w:val="both"/>
        <w:rPr>
          <w:rFonts w:asciiTheme="minorHAnsi" w:hAnsiTheme="minorHAnsi" w:cstheme="minorHAnsi"/>
          <w:color w:val="auto"/>
          <w:sz w:val="20"/>
          <w:szCs w:val="20"/>
          <w:lang w:val="en-US"/>
        </w:rPr>
      </w:pPr>
    </w:p>
    <w:p w14:paraId="1A174FD4" w14:textId="77777777" w:rsidR="0030207D" w:rsidRDefault="0030207D" w:rsidP="0030207D">
      <w:pPr>
        <w:pStyle w:val="Default"/>
        <w:ind w:left="12"/>
        <w:jc w:val="both"/>
        <w:rPr>
          <w:rFonts w:asciiTheme="minorHAnsi" w:hAnsiTheme="minorHAnsi" w:cstheme="minorHAnsi"/>
          <w:color w:val="auto"/>
          <w:sz w:val="20"/>
          <w:szCs w:val="20"/>
          <w:lang w:val="en-GB"/>
        </w:rPr>
      </w:pPr>
      <w:r>
        <w:fldChar w:fldCharType="begin"/>
      </w:r>
      <w:r w:rsidRPr="00A0677D">
        <w:rPr>
          <w:lang w:val="en-GB"/>
          <w:rPrChange w:id="2" w:author="DANIELL Saskia" w:date="2025-01-30T19:03:00Z">
            <w:rPr/>
          </w:rPrChange>
        </w:rPr>
        <w:instrText>HYPERLINK "https://www.venice.coe.int/webforms/documents/default.aspx?pdffile=CDL-AD(2024)018-e"</w:instrText>
      </w:r>
      <w:r>
        <w:fldChar w:fldCharType="separate"/>
      </w:r>
      <w:r w:rsidRPr="005772E4">
        <w:rPr>
          <w:rStyle w:val="Hyperlink"/>
          <w:rFonts w:asciiTheme="minorHAnsi" w:hAnsiTheme="minorHAnsi" w:cstheme="minorHAnsi"/>
          <w:sz w:val="20"/>
          <w:szCs w:val="20"/>
          <w:lang w:val="en-GB"/>
        </w:rPr>
        <w:t>CDL-AD(2024)018-e</w:t>
      </w:r>
      <w:r>
        <w:rPr>
          <w:rStyle w:val="Hyperlink"/>
          <w:rFonts w:asciiTheme="minorHAnsi" w:hAnsiTheme="minorHAnsi" w:cstheme="minorHAnsi"/>
          <w:sz w:val="20"/>
          <w:szCs w:val="20"/>
          <w:lang w:val="en-GB"/>
        </w:rPr>
        <w:fldChar w:fldCharType="end"/>
      </w:r>
      <w:r w:rsidRPr="005772E4">
        <w:rPr>
          <w:rFonts w:asciiTheme="minorHAnsi" w:hAnsiTheme="minorHAnsi" w:cstheme="minorHAnsi"/>
          <w:color w:val="auto"/>
          <w:sz w:val="20"/>
          <w:szCs w:val="20"/>
          <w:lang w:val="en-GB"/>
        </w:rPr>
        <w:br/>
        <w:t>Poland - Urgent Joint Opinion of the Venice Commission and the Directorate General of Human Rights and Rule of Law of the Council of Europe on the draft law amending the Law on the National Council of the Judiciary of Poland, issued on 8 May 2024, pursuant to Article 14a of the Venice Commission's Revised Rules of Procedure, endorsed by the Venice Commission at its 139th Plenary Session (Venice, 21-22 June 2024</w:t>
      </w:r>
    </w:p>
    <w:p w14:paraId="23844307" w14:textId="77777777" w:rsidR="004E447E" w:rsidRDefault="004E447E" w:rsidP="0030207D">
      <w:pPr>
        <w:pStyle w:val="Default"/>
        <w:ind w:left="12"/>
        <w:jc w:val="both"/>
        <w:rPr>
          <w:rFonts w:asciiTheme="minorHAnsi" w:hAnsiTheme="minorHAnsi" w:cstheme="minorHAnsi"/>
          <w:color w:val="auto"/>
          <w:sz w:val="20"/>
          <w:szCs w:val="20"/>
          <w:lang w:val="en-GB"/>
        </w:rPr>
      </w:pPr>
    </w:p>
    <w:p w14:paraId="0176CE7D" w14:textId="77777777" w:rsidR="004E447E" w:rsidRDefault="004E447E" w:rsidP="0030207D">
      <w:pPr>
        <w:pStyle w:val="Default"/>
        <w:ind w:left="12"/>
        <w:jc w:val="both"/>
        <w:rPr>
          <w:rFonts w:asciiTheme="minorHAnsi" w:hAnsiTheme="minorHAnsi" w:cstheme="minorHAnsi"/>
          <w:color w:val="auto"/>
          <w:sz w:val="20"/>
          <w:szCs w:val="20"/>
          <w:lang w:val="en-GB"/>
        </w:rPr>
      </w:pPr>
    </w:p>
    <w:p w14:paraId="2EAD45BE" w14:textId="58594100" w:rsidR="004E447E" w:rsidRDefault="004E447E" w:rsidP="0030207D">
      <w:pPr>
        <w:pStyle w:val="Default"/>
        <w:ind w:left="12"/>
        <w:jc w:val="both"/>
        <w:rPr>
          <w:rFonts w:asciiTheme="minorHAnsi" w:hAnsiTheme="minorHAnsi" w:cstheme="minorHAnsi"/>
          <w:color w:val="auto"/>
          <w:sz w:val="20"/>
          <w:szCs w:val="20"/>
          <w:lang w:val="en-GB"/>
        </w:rPr>
      </w:pPr>
      <w:r>
        <w:rPr>
          <w:rFonts w:asciiTheme="minorHAnsi" w:hAnsiTheme="minorHAnsi" w:cstheme="minorHAnsi"/>
          <w:color w:val="auto"/>
          <w:sz w:val="20"/>
          <w:szCs w:val="20"/>
          <w:lang w:val="en-GB"/>
        </w:rPr>
        <w:t>PACE</w:t>
      </w:r>
    </w:p>
    <w:p w14:paraId="17F6D51A" w14:textId="77777777" w:rsidR="004E447E" w:rsidRDefault="004E447E" w:rsidP="0030207D">
      <w:pPr>
        <w:pStyle w:val="Default"/>
        <w:ind w:left="12"/>
        <w:jc w:val="both"/>
        <w:rPr>
          <w:rFonts w:asciiTheme="minorHAnsi" w:hAnsiTheme="minorHAnsi" w:cstheme="minorHAnsi"/>
          <w:color w:val="auto"/>
          <w:sz w:val="20"/>
          <w:szCs w:val="20"/>
          <w:lang w:val="en-GB"/>
        </w:rPr>
      </w:pPr>
    </w:p>
    <w:p w14:paraId="77C49842" w14:textId="77777777" w:rsidR="004E447E" w:rsidRPr="004E447E" w:rsidRDefault="004E447E" w:rsidP="004E447E">
      <w:pPr>
        <w:rPr>
          <w:rFonts w:cstheme="minorHAnsi"/>
          <w:b/>
          <w:bCs/>
          <w:lang w:val="en-US"/>
        </w:rPr>
      </w:pPr>
      <w:r w:rsidRPr="004E447E">
        <w:rPr>
          <w:rFonts w:cstheme="minorHAnsi"/>
          <w:b/>
          <w:bCs/>
          <w:lang w:val="en-US"/>
        </w:rPr>
        <w:t>Poland |</w:t>
      </w:r>
      <w:r w:rsidRPr="004E447E">
        <w:rPr>
          <w:rFonts w:cstheme="minorHAnsi"/>
          <w:lang w:val="en-US"/>
        </w:rPr>
        <w:t xml:space="preserve"> </w:t>
      </w:r>
      <w:hyperlink r:id="rId18" w:history="1">
        <w:r w:rsidRPr="004E447E">
          <w:rPr>
            <w:rStyle w:val="Hyperlink"/>
            <w:rFonts w:cstheme="minorHAnsi"/>
            <w:lang w:val="en-US"/>
          </w:rPr>
          <w:t>Doc. 16086</w:t>
        </w:r>
      </w:hyperlink>
      <w:r w:rsidRPr="004E447E">
        <w:rPr>
          <w:rFonts w:cstheme="minorHAnsi"/>
          <w:b/>
          <w:bCs/>
          <w:lang w:val="en-US"/>
        </w:rPr>
        <w:t xml:space="preserve"> </w:t>
      </w:r>
    </w:p>
    <w:p w14:paraId="4C1202A1" w14:textId="77777777" w:rsidR="004E447E" w:rsidRPr="004E447E" w:rsidRDefault="004E447E" w:rsidP="004E447E">
      <w:pPr>
        <w:rPr>
          <w:rFonts w:eastAsia="Times New Roman" w:cstheme="minorHAnsi"/>
          <w:lang w:val="en-GB"/>
        </w:rPr>
      </w:pPr>
      <w:r w:rsidRPr="004E447E">
        <w:rPr>
          <w:rFonts w:cstheme="minorHAnsi"/>
          <w:lang w:val="en-GB"/>
        </w:rPr>
        <w:t>Fact-finding visit by the co-rapporteurs (18-20 November 2024)</w:t>
      </w:r>
    </w:p>
    <w:p w14:paraId="69FBAEA1" w14:textId="77777777" w:rsidR="004E447E" w:rsidRPr="004E447E" w:rsidRDefault="004E447E" w:rsidP="004E447E">
      <w:pPr>
        <w:rPr>
          <w:rFonts w:cstheme="minorHAnsi"/>
          <w:b/>
          <w:bCs/>
          <w:lang w:val="en-GB"/>
        </w:rPr>
      </w:pPr>
    </w:p>
    <w:p w14:paraId="77675603" w14:textId="77777777" w:rsidR="004E447E" w:rsidRPr="004E447E" w:rsidRDefault="004E447E" w:rsidP="004E447E">
      <w:pPr>
        <w:jc w:val="both"/>
        <w:rPr>
          <w:rFonts w:cstheme="minorHAnsi"/>
          <w:b/>
          <w:bCs/>
          <w:lang w:val="en-US"/>
        </w:rPr>
      </w:pPr>
      <w:r w:rsidRPr="004E447E">
        <w:rPr>
          <w:rFonts w:cstheme="minorHAnsi"/>
          <w:color w:val="161616"/>
          <w:shd w:val="clear" w:color="auto" w:fill="FFFFFF"/>
          <w:lang w:val="en-US"/>
        </w:rPr>
        <w:t xml:space="preserve">The Monitoring Committee strongly welcomes the ambitious reform </w:t>
      </w:r>
      <w:proofErr w:type="spellStart"/>
      <w:r w:rsidRPr="004E447E">
        <w:rPr>
          <w:rFonts w:cstheme="minorHAnsi"/>
          <w:color w:val="161616"/>
          <w:shd w:val="clear" w:color="auto" w:fill="FFFFFF"/>
          <w:lang w:val="en-US"/>
        </w:rPr>
        <w:t>programme</w:t>
      </w:r>
      <w:proofErr w:type="spellEnd"/>
      <w:r w:rsidRPr="004E447E">
        <w:rPr>
          <w:rFonts w:cstheme="minorHAnsi"/>
          <w:color w:val="161616"/>
          <w:shd w:val="clear" w:color="auto" w:fill="FFFFFF"/>
          <w:lang w:val="en-US"/>
        </w:rPr>
        <w:t xml:space="preserve"> that is being developed by the Polish authorities with the stated objective of implementing the judgments of the European Court of Human Rights </w:t>
      </w:r>
      <w:proofErr w:type="gramStart"/>
      <w:r w:rsidRPr="004E447E">
        <w:rPr>
          <w:rFonts w:cstheme="minorHAnsi"/>
          <w:color w:val="161616"/>
          <w:shd w:val="clear" w:color="auto" w:fill="FFFFFF"/>
          <w:lang w:val="en-US"/>
        </w:rPr>
        <w:t>with regard to</w:t>
      </w:r>
      <w:proofErr w:type="gramEnd"/>
      <w:r w:rsidRPr="004E447E">
        <w:rPr>
          <w:rFonts w:cstheme="minorHAnsi"/>
          <w:color w:val="161616"/>
          <w:shd w:val="clear" w:color="auto" w:fill="FFFFFF"/>
          <w:lang w:val="en-US"/>
        </w:rPr>
        <w:t xml:space="preserve"> the independence of the justice system and, in their own words, to restore the rule of law in the country. However, it takes note of the questions that have been raised about the compatibility of some of the aspects of these reforms with European standards and norms, and are concerned that the authorities, in their zeal to restore the rule of law, may be tempted to sometimes sidestep the very requirements of the rule of law itself. Given the sensitivity of these reforms, and mindful of the very </w:t>
      </w:r>
      <w:proofErr w:type="spellStart"/>
      <w:r w:rsidRPr="004E447E">
        <w:rPr>
          <w:rFonts w:cstheme="minorHAnsi"/>
          <w:color w:val="161616"/>
          <w:shd w:val="clear" w:color="auto" w:fill="FFFFFF"/>
          <w:lang w:val="en-US"/>
        </w:rPr>
        <w:t>polarised</w:t>
      </w:r>
      <w:proofErr w:type="spellEnd"/>
      <w:r w:rsidRPr="004E447E">
        <w:rPr>
          <w:rFonts w:cstheme="minorHAnsi"/>
          <w:color w:val="161616"/>
          <w:shd w:val="clear" w:color="auto" w:fill="FFFFFF"/>
          <w:lang w:val="en-US"/>
        </w:rPr>
        <w:t xml:space="preserve"> and contentious political environment in the country, the Committee calls on the authorities to continue its close co-operation with the Venice Commission and to fully address all recommendations and concerns expressed in its opinions on the various judicial reforms.</w:t>
      </w:r>
    </w:p>
    <w:p w14:paraId="5E2620C9" w14:textId="77777777" w:rsidR="004E447E" w:rsidRDefault="004E447E" w:rsidP="0030207D">
      <w:pPr>
        <w:pStyle w:val="Default"/>
        <w:ind w:left="12"/>
        <w:jc w:val="both"/>
        <w:rPr>
          <w:rFonts w:asciiTheme="minorHAnsi" w:hAnsiTheme="minorHAnsi" w:cstheme="minorHAnsi"/>
          <w:color w:val="auto"/>
          <w:sz w:val="20"/>
          <w:szCs w:val="20"/>
          <w:lang w:val="en-US"/>
        </w:rPr>
      </w:pPr>
    </w:p>
    <w:p w14:paraId="10413D2C" w14:textId="77777777" w:rsidR="0030207D" w:rsidRDefault="0030207D">
      <w:pPr>
        <w:rPr>
          <w:rFonts w:cs="Arial"/>
          <w:color w:val="FFFFFF" w:themeColor="background1"/>
          <w:sz w:val="22"/>
          <w:szCs w:val="22"/>
          <w:shd w:val="clear" w:color="auto" w:fill="1F3864" w:themeFill="accent1" w:themeFillShade="80"/>
          <w:lang w:val="en-US"/>
        </w:rPr>
      </w:pPr>
    </w:p>
    <w:p w14:paraId="72144E48" w14:textId="77777777" w:rsidR="009644F3" w:rsidRDefault="009644F3" w:rsidP="009644F3">
      <w:pPr>
        <w:jc w:val="both"/>
        <w:rPr>
          <w:rFonts w:cstheme="minorHAnsi"/>
          <w:color w:val="161616"/>
          <w:shd w:val="clear" w:color="auto" w:fill="FFFFFF"/>
          <w:lang w:val="en-GB"/>
        </w:rPr>
      </w:pPr>
      <w:r w:rsidRPr="009644F3">
        <w:rPr>
          <w:rFonts w:cstheme="minorHAnsi"/>
          <w:color w:val="161616"/>
          <w:shd w:val="clear" w:color="auto" w:fill="FFFFFF"/>
          <w:lang w:val="en-GB"/>
        </w:rPr>
        <w:t xml:space="preserve">In regard to the implementation of judgments of the European Court of Human Rights, a number of relevant cases awaiting execution were highlighted by the Parliamentary Assembly’s rapporteur in his </w:t>
      </w:r>
      <w:hyperlink r:id="rId19" w:history="1">
        <w:r w:rsidRPr="009644F3">
          <w:rPr>
            <w:rStyle w:val="Hyperlink"/>
            <w:rFonts w:cstheme="minorHAnsi"/>
            <w:shd w:val="clear" w:color="auto" w:fill="FFFFFF"/>
            <w:lang w:val="en-GB"/>
          </w:rPr>
          <w:t>Introductory Memorandum</w:t>
        </w:r>
      </w:hyperlink>
      <w:r w:rsidRPr="009644F3">
        <w:rPr>
          <w:rFonts w:cstheme="minorHAnsi"/>
          <w:color w:val="161616"/>
          <w:shd w:val="clear" w:color="auto" w:fill="FFFFFF"/>
          <w:lang w:val="en-GB"/>
        </w:rPr>
        <w:t xml:space="preserve"> to the 12</w:t>
      </w:r>
      <w:r w:rsidRPr="009644F3">
        <w:rPr>
          <w:rFonts w:cstheme="minorHAnsi"/>
          <w:color w:val="161616"/>
          <w:shd w:val="clear" w:color="auto" w:fill="FFFFFF"/>
          <w:vertAlign w:val="superscript"/>
          <w:lang w:val="en-GB"/>
        </w:rPr>
        <w:t>th</w:t>
      </w:r>
      <w:r w:rsidRPr="009644F3">
        <w:rPr>
          <w:rFonts w:cstheme="minorHAnsi"/>
          <w:color w:val="161616"/>
          <w:shd w:val="clear" w:color="auto" w:fill="FFFFFF"/>
          <w:lang w:val="en-GB"/>
        </w:rPr>
        <w:t xml:space="preserve"> Report on the Implementation of Judgments of the European Court of Human Rights, which included violations relevant to the independence of the judiciary. Although this memorandum was published in October 2023, almost </w:t>
      </w:r>
      <w:proofErr w:type="gramStart"/>
      <w:r w:rsidRPr="009644F3">
        <w:rPr>
          <w:rFonts w:cstheme="minorHAnsi"/>
          <w:color w:val="161616"/>
          <w:shd w:val="clear" w:color="auto" w:fill="FFFFFF"/>
          <w:lang w:val="en-GB"/>
        </w:rPr>
        <w:t>all of</w:t>
      </w:r>
      <w:proofErr w:type="gramEnd"/>
      <w:r w:rsidRPr="009644F3">
        <w:rPr>
          <w:rFonts w:cstheme="minorHAnsi"/>
          <w:color w:val="161616"/>
          <w:shd w:val="clear" w:color="auto" w:fill="FFFFFF"/>
          <w:lang w:val="en-GB"/>
        </w:rPr>
        <w:t xml:space="preserve"> the cases referred to by the rapporteur remain pending implementation. The judgments still pending are as follows:</w:t>
      </w:r>
    </w:p>
    <w:p w14:paraId="6B1DB834" w14:textId="77777777" w:rsidR="009644F3" w:rsidRPr="009644F3" w:rsidRDefault="009644F3" w:rsidP="009644F3">
      <w:pPr>
        <w:jc w:val="both"/>
        <w:rPr>
          <w:rFonts w:cstheme="minorHAnsi"/>
          <w:color w:val="161616"/>
          <w:shd w:val="clear" w:color="auto" w:fill="FFFFFF"/>
          <w:lang w:val="en-GB"/>
        </w:rPr>
      </w:pPr>
    </w:p>
    <w:p w14:paraId="4672878E" w14:textId="77777777" w:rsidR="009644F3" w:rsidRPr="009644F3" w:rsidRDefault="009644F3" w:rsidP="009644F3">
      <w:pPr>
        <w:jc w:val="both"/>
        <w:rPr>
          <w:rFonts w:cstheme="minorHAnsi"/>
          <w:color w:val="161616"/>
          <w:shd w:val="clear" w:color="auto" w:fill="FFFFFF"/>
          <w:lang w:val="en-GB"/>
        </w:rPr>
      </w:pPr>
      <w:r w:rsidRPr="009644F3">
        <w:rPr>
          <w:rFonts w:cstheme="minorHAnsi"/>
          <w:b/>
          <w:bCs/>
          <w:color w:val="161616"/>
          <w:shd w:val="clear" w:color="auto" w:fill="FFFFFF"/>
          <w:lang w:val="en-GB"/>
        </w:rPr>
        <w:t>Poland</w:t>
      </w:r>
      <w:r w:rsidRPr="009644F3">
        <w:rPr>
          <w:rFonts w:cstheme="minorHAnsi"/>
          <w:color w:val="161616"/>
          <w:shd w:val="clear" w:color="auto" w:fill="FFFFFF"/>
          <w:lang w:val="en-GB"/>
        </w:rPr>
        <w:t xml:space="preserve">: </w:t>
      </w:r>
      <w:proofErr w:type="spellStart"/>
      <w:r w:rsidRPr="009644F3">
        <w:rPr>
          <w:rFonts w:cstheme="minorHAnsi"/>
          <w:i/>
          <w:iCs/>
          <w:color w:val="161616"/>
          <w:shd w:val="clear" w:color="auto" w:fill="FFFFFF"/>
          <w:lang w:val="en-GB"/>
        </w:rPr>
        <w:t>Broda</w:t>
      </w:r>
      <w:proofErr w:type="spellEnd"/>
      <w:r w:rsidRPr="009644F3">
        <w:rPr>
          <w:rFonts w:cstheme="minorHAnsi"/>
          <w:i/>
          <w:iCs/>
          <w:color w:val="161616"/>
          <w:shd w:val="clear" w:color="auto" w:fill="FFFFFF"/>
          <w:lang w:val="en-GB"/>
        </w:rPr>
        <w:t xml:space="preserve"> and </w:t>
      </w:r>
      <w:proofErr w:type="spellStart"/>
      <w:r w:rsidRPr="009644F3">
        <w:rPr>
          <w:rFonts w:cstheme="minorHAnsi"/>
          <w:i/>
          <w:iCs/>
          <w:color w:val="161616"/>
          <w:shd w:val="clear" w:color="auto" w:fill="FFFFFF"/>
          <w:lang w:val="en-GB"/>
        </w:rPr>
        <w:t>Bojara</w:t>
      </w:r>
      <w:proofErr w:type="spellEnd"/>
      <w:r w:rsidRPr="009644F3">
        <w:rPr>
          <w:rFonts w:cstheme="minorHAnsi"/>
          <w:i/>
          <w:iCs/>
          <w:color w:val="161616"/>
          <w:shd w:val="clear" w:color="auto" w:fill="FFFFFF"/>
          <w:lang w:val="en-GB"/>
        </w:rPr>
        <w:t xml:space="preserve"> v Poland</w:t>
      </w:r>
      <w:r w:rsidRPr="009644F3">
        <w:rPr>
          <w:rFonts w:cstheme="minorHAnsi"/>
          <w:color w:val="161616"/>
          <w:shd w:val="clear" w:color="auto" w:fill="FFFFFF"/>
          <w:lang w:val="en-GB"/>
        </w:rPr>
        <w:t xml:space="preserve">, Application No. 26691/18 and 27367/18, judgment of 29 June 2021; </w:t>
      </w:r>
      <w:proofErr w:type="spellStart"/>
      <w:r w:rsidRPr="009644F3">
        <w:rPr>
          <w:rFonts w:cstheme="minorHAnsi"/>
          <w:i/>
          <w:iCs/>
          <w:color w:val="161616"/>
          <w:shd w:val="clear" w:color="auto" w:fill="FFFFFF"/>
          <w:lang w:val="en-GB"/>
        </w:rPr>
        <w:t>Grzeda</w:t>
      </w:r>
      <w:proofErr w:type="spellEnd"/>
      <w:r w:rsidRPr="009644F3">
        <w:rPr>
          <w:rFonts w:cstheme="minorHAnsi"/>
          <w:i/>
          <w:iCs/>
          <w:color w:val="161616"/>
          <w:shd w:val="clear" w:color="auto" w:fill="FFFFFF"/>
          <w:lang w:val="en-GB"/>
        </w:rPr>
        <w:t xml:space="preserve"> v Poland</w:t>
      </w:r>
      <w:r w:rsidRPr="009644F3">
        <w:rPr>
          <w:rFonts w:cstheme="minorHAnsi"/>
          <w:color w:val="161616"/>
          <w:shd w:val="clear" w:color="auto" w:fill="FFFFFF"/>
          <w:lang w:val="en-GB"/>
        </w:rPr>
        <w:t xml:space="preserve">, Application No. 43572/18, judgment of 15 March 2022; </w:t>
      </w:r>
      <w:proofErr w:type="spellStart"/>
      <w:r w:rsidRPr="009644F3">
        <w:rPr>
          <w:rFonts w:cstheme="minorHAnsi"/>
          <w:i/>
          <w:iCs/>
          <w:color w:val="161616"/>
          <w:shd w:val="clear" w:color="auto" w:fill="FFFFFF"/>
          <w:lang w:val="en-GB"/>
        </w:rPr>
        <w:t>Juszczyszyn</w:t>
      </w:r>
      <w:proofErr w:type="spellEnd"/>
      <w:r w:rsidRPr="009644F3">
        <w:rPr>
          <w:rFonts w:cstheme="minorHAnsi"/>
          <w:i/>
          <w:iCs/>
          <w:color w:val="161616"/>
          <w:shd w:val="clear" w:color="auto" w:fill="FFFFFF"/>
          <w:lang w:val="en-GB"/>
        </w:rPr>
        <w:t xml:space="preserve"> v Poland</w:t>
      </w:r>
      <w:r w:rsidRPr="009644F3">
        <w:rPr>
          <w:rFonts w:cstheme="minorHAnsi"/>
          <w:color w:val="161616"/>
          <w:shd w:val="clear" w:color="auto" w:fill="FFFFFF"/>
          <w:lang w:val="en-GB"/>
        </w:rPr>
        <w:t xml:space="preserve">, Application No. 35599/20, judgment of 6 October 2022; </w:t>
      </w:r>
      <w:r w:rsidRPr="009644F3">
        <w:rPr>
          <w:rFonts w:cstheme="minorHAnsi"/>
          <w:i/>
          <w:iCs/>
          <w:color w:val="161616"/>
          <w:shd w:val="clear" w:color="auto" w:fill="FFFFFF"/>
          <w:lang w:val="en-GB"/>
        </w:rPr>
        <w:t>Xero Flor v. Poland</w:t>
      </w:r>
      <w:r w:rsidRPr="009644F3">
        <w:rPr>
          <w:rFonts w:cstheme="minorHAnsi"/>
          <w:color w:val="161616"/>
          <w:shd w:val="clear" w:color="auto" w:fill="FFFFFF"/>
          <w:lang w:val="en-GB"/>
        </w:rPr>
        <w:t xml:space="preserve">, Application No. 4907/18 judgment of 7 August 2021; </w:t>
      </w:r>
      <w:proofErr w:type="spellStart"/>
      <w:r w:rsidRPr="009644F3">
        <w:rPr>
          <w:rFonts w:cstheme="minorHAnsi"/>
          <w:i/>
          <w:iCs/>
          <w:color w:val="161616"/>
          <w:shd w:val="clear" w:color="auto" w:fill="FFFFFF"/>
          <w:lang w:val="en-GB"/>
        </w:rPr>
        <w:t>Reczkowicz</w:t>
      </w:r>
      <w:proofErr w:type="spellEnd"/>
      <w:r w:rsidRPr="009644F3">
        <w:rPr>
          <w:rFonts w:cstheme="minorHAnsi"/>
          <w:i/>
          <w:iCs/>
          <w:color w:val="161616"/>
          <w:shd w:val="clear" w:color="auto" w:fill="FFFFFF"/>
          <w:lang w:val="en-GB"/>
        </w:rPr>
        <w:t xml:space="preserve"> v Poland</w:t>
      </w:r>
      <w:r w:rsidRPr="009644F3">
        <w:rPr>
          <w:rFonts w:cstheme="minorHAnsi"/>
          <w:color w:val="161616"/>
          <w:shd w:val="clear" w:color="auto" w:fill="FFFFFF"/>
          <w:lang w:val="en-GB"/>
        </w:rPr>
        <w:t>, Application No. 43447/19, judgment of 22 July 2021</w:t>
      </w:r>
    </w:p>
    <w:p w14:paraId="51137249" w14:textId="77777777" w:rsidR="009644F3" w:rsidRPr="009644F3" w:rsidRDefault="009644F3">
      <w:pPr>
        <w:rPr>
          <w:rFonts w:cs="Arial"/>
          <w:color w:val="FFFFFF" w:themeColor="background1"/>
          <w:sz w:val="22"/>
          <w:szCs w:val="22"/>
          <w:shd w:val="clear" w:color="auto" w:fill="1F3864" w:themeFill="accent1" w:themeFillShade="80"/>
          <w:lang w:val="en-GB"/>
        </w:rPr>
      </w:pPr>
    </w:p>
    <w:p w14:paraId="0E1EC938" w14:textId="77777777" w:rsidR="006D6B15" w:rsidRDefault="006D6B15" w:rsidP="006D6B15">
      <w:pPr>
        <w:keepNext/>
        <w:spacing w:before="320"/>
        <w:outlineLvl w:val="0"/>
        <w:rPr>
          <w:rFonts w:ascii="Calibri Light" w:eastAsia="Times New Roman" w:hAnsi="Calibri Light" w:cs="Calibri Light"/>
          <w:color w:val="2F5496"/>
          <w:kern w:val="36"/>
          <w:sz w:val="32"/>
          <w:szCs w:val="32"/>
          <w:lang w:val="en-US"/>
        </w:rPr>
      </w:pPr>
      <w:bookmarkStart w:id="3" w:name="_Toc36635832"/>
      <w:r w:rsidRPr="006D6B15">
        <w:rPr>
          <w:rFonts w:ascii="Calibri Light" w:eastAsia="Times New Roman" w:hAnsi="Calibri Light" w:cs="Calibri Light"/>
          <w:color w:val="2F5496"/>
          <w:kern w:val="36"/>
          <w:sz w:val="32"/>
          <w:szCs w:val="32"/>
          <w:lang w:val="en-US"/>
        </w:rPr>
        <w:t>II Anti-corruption framework</w:t>
      </w:r>
      <w:bookmarkEnd w:id="3"/>
      <w:r w:rsidRPr="006D6B15">
        <w:rPr>
          <w:rFonts w:ascii="Calibri Light" w:eastAsia="Times New Roman" w:hAnsi="Calibri Light" w:cs="Calibri Light"/>
          <w:color w:val="2F5496"/>
          <w:kern w:val="36"/>
          <w:sz w:val="32"/>
          <w:szCs w:val="32"/>
          <w:lang w:val="en-US"/>
        </w:rPr>
        <w:t xml:space="preserve"> </w:t>
      </w:r>
    </w:p>
    <w:p w14:paraId="18024A85" w14:textId="77777777" w:rsidR="009E2143" w:rsidRPr="006D6B15" w:rsidRDefault="009E2143" w:rsidP="006D6B15">
      <w:pPr>
        <w:keepNext/>
        <w:spacing w:before="320"/>
        <w:outlineLvl w:val="0"/>
        <w:rPr>
          <w:rFonts w:ascii="Calibri Light" w:eastAsia="Times New Roman" w:hAnsi="Calibri Light" w:cs="Calibri Light"/>
          <w:color w:val="2F5496"/>
          <w:kern w:val="36"/>
          <w:sz w:val="32"/>
          <w:szCs w:val="32"/>
          <w:lang w:val="en-US"/>
        </w:rPr>
      </w:pPr>
    </w:p>
    <w:p w14:paraId="4DAC473F" w14:textId="77777777" w:rsidR="009E2143" w:rsidRDefault="009E2143" w:rsidP="009E2143">
      <w:pPr>
        <w:pStyle w:val="NoSpacing"/>
        <w:rPr>
          <w:lang w:val="en-GB"/>
        </w:rPr>
      </w:pPr>
      <w:r>
        <w:rPr>
          <w:lang w:val="en-GB"/>
        </w:rPr>
        <w:t xml:space="preserve">MONEYVAL </w:t>
      </w:r>
    </w:p>
    <w:p w14:paraId="65361AD2" w14:textId="77777777" w:rsidR="009E2143" w:rsidRDefault="00000000" w:rsidP="009E2143">
      <w:pPr>
        <w:pStyle w:val="NoSpacing"/>
        <w:rPr>
          <w:lang w:val="en-GB"/>
        </w:rPr>
      </w:pPr>
      <w:hyperlink r:id="rId20" w:history="1">
        <w:r w:rsidR="009E2143" w:rsidRPr="00831A31">
          <w:rPr>
            <w:rStyle w:val="Hyperlink"/>
            <w:lang w:val="en-GB"/>
          </w:rPr>
          <w:t>1</w:t>
        </w:r>
        <w:r w:rsidR="009E2143" w:rsidRPr="00831A31">
          <w:rPr>
            <w:rStyle w:val="Hyperlink"/>
            <w:vertAlign w:val="superscript"/>
            <w:lang w:val="en-GB"/>
          </w:rPr>
          <w:t>st</w:t>
        </w:r>
        <w:r w:rsidR="009E2143" w:rsidRPr="00831A31">
          <w:rPr>
            <w:rStyle w:val="Hyperlink"/>
            <w:lang w:val="en-GB"/>
          </w:rPr>
          <w:t xml:space="preserve"> Enhanced Follow-Up Report &amp; Technical Compliance Re-Rating</w:t>
        </w:r>
      </w:hyperlink>
      <w:r w:rsidR="009E2143">
        <w:rPr>
          <w:lang w:val="en-GB"/>
        </w:rPr>
        <w:t xml:space="preserve"> (December 2023)</w:t>
      </w:r>
    </w:p>
    <w:p w14:paraId="67AFC972" w14:textId="77777777" w:rsidR="009E2143" w:rsidRDefault="00000000" w:rsidP="009E2143">
      <w:pPr>
        <w:pStyle w:val="NoSpacing"/>
        <w:rPr>
          <w:lang w:val="en-GB"/>
        </w:rPr>
      </w:pPr>
      <w:hyperlink r:id="rId21" w:history="1">
        <w:r w:rsidR="009E2143" w:rsidRPr="00831A31">
          <w:rPr>
            <w:rStyle w:val="Hyperlink"/>
            <w:lang w:val="en-GB"/>
          </w:rPr>
          <w:t>2</w:t>
        </w:r>
        <w:r w:rsidR="009E2143" w:rsidRPr="00831A31">
          <w:rPr>
            <w:rStyle w:val="Hyperlink"/>
            <w:vertAlign w:val="superscript"/>
            <w:lang w:val="en-GB"/>
          </w:rPr>
          <w:t>nd</w:t>
        </w:r>
        <w:r w:rsidR="009E2143" w:rsidRPr="00831A31">
          <w:rPr>
            <w:rStyle w:val="Hyperlink"/>
            <w:lang w:val="en-GB"/>
          </w:rPr>
          <w:t xml:space="preserve"> Enhanced Follow-Up Report &amp; Technical Compliance Re-Rating</w:t>
        </w:r>
      </w:hyperlink>
      <w:r w:rsidR="009E2143">
        <w:rPr>
          <w:lang w:val="en-GB"/>
        </w:rPr>
        <w:t xml:space="preserve"> (October 2024)</w:t>
      </w:r>
    </w:p>
    <w:p w14:paraId="5DD00E7A" w14:textId="77777777" w:rsidR="009E2143" w:rsidRDefault="009E2143" w:rsidP="009E2143">
      <w:pPr>
        <w:pStyle w:val="NoSpacing"/>
        <w:rPr>
          <w:lang w:val="en-GB"/>
        </w:rPr>
      </w:pPr>
    </w:p>
    <w:p w14:paraId="11C84606" w14:textId="77777777" w:rsidR="009E2143" w:rsidRPr="009E2143" w:rsidRDefault="009E2143" w:rsidP="009E2143">
      <w:pPr>
        <w:pStyle w:val="NoSpacing"/>
        <w:rPr>
          <w:lang w:val="it-IT"/>
        </w:rPr>
      </w:pPr>
      <w:r w:rsidRPr="009E2143">
        <w:rPr>
          <w:lang w:val="it-IT"/>
        </w:rPr>
        <w:lastRenderedPageBreak/>
        <w:t xml:space="preserve">COP 198 </w:t>
      </w:r>
    </w:p>
    <w:p w14:paraId="4B3316A4" w14:textId="77777777" w:rsidR="009E2143" w:rsidRPr="009E2143" w:rsidRDefault="009E2143" w:rsidP="009E2143">
      <w:pPr>
        <w:pStyle w:val="NoSpacing"/>
        <w:rPr>
          <w:lang w:val="it-IT"/>
        </w:rPr>
      </w:pPr>
      <w:r w:rsidRPr="009E2143">
        <w:rPr>
          <w:lang w:val="it-IT"/>
        </w:rPr>
        <w:t>N/A</w:t>
      </w:r>
    </w:p>
    <w:p w14:paraId="4E1A33D2" w14:textId="77777777" w:rsidR="006D6B15" w:rsidRPr="009E2143" w:rsidRDefault="006D6B15" w:rsidP="006D6B15">
      <w:pPr>
        <w:keepNext/>
        <w:spacing w:before="320"/>
        <w:outlineLvl w:val="0"/>
        <w:rPr>
          <w:rFonts w:ascii="Calibri Light" w:eastAsia="Times New Roman" w:hAnsi="Calibri Light" w:cs="Calibri Light"/>
          <w:color w:val="2F5496"/>
          <w:kern w:val="36"/>
          <w:sz w:val="32"/>
          <w:szCs w:val="32"/>
          <w:lang w:val="it-IT"/>
        </w:rPr>
      </w:pPr>
    </w:p>
    <w:p w14:paraId="5E42EE42" w14:textId="77777777" w:rsidR="006D6B15" w:rsidRPr="009E2143" w:rsidRDefault="006D6B15" w:rsidP="006D6B15">
      <w:pPr>
        <w:keepNext/>
        <w:spacing w:before="320"/>
        <w:outlineLvl w:val="0"/>
        <w:rPr>
          <w:rFonts w:ascii="Calibri Light" w:eastAsia="Times New Roman" w:hAnsi="Calibri Light" w:cs="Calibri Light"/>
          <w:color w:val="2F5496"/>
          <w:kern w:val="36"/>
          <w:sz w:val="32"/>
          <w:szCs w:val="32"/>
          <w:lang w:val="it-IT"/>
        </w:rPr>
      </w:pPr>
    </w:p>
    <w:p w14:paraId="48BB3431" w14:textId="77777777" w:rsidR="006D6B15" w:rsidRPr="009E2143" w:rsidRDefault="006D6B15" w:rsidP="006D6B15">
      <w:pPr>
        <w:keepNext/>
        <w:spacing w:before="320"/>
        <w:outlineLvl w:val="0"/>
        <w:rPr>
          <w:rFonts w:ascii="Calibri Light" w:eastAsia="Times New Roman" w:hAnsi="Calibri Light" w:cs="Calibri Light"/>
          <w:color w:val="2F5496"/>
          <w:kern w:val="36"/>
          <w:sz w:val="32"/>
          <w:szCs w:val="32"/>
          <w:lang w:val="it-IT"/>
        </w:rPr>
      </w:pPr>
    </w:p>
    <w:p w14:paraId="50CE09F3" w14:textId="77777777" w:rsidR="006D6B15" w:rsidRPr="009E2143" w:rsidRDefault="006D6B15" w:rsidP="006D6B15">
      <w:pPr>
        <w:keepNext/>
        <w:spacing w:before="320"/>
        <w:outlineLvl w:val="0"/>
        <w:rPr>
          <w:rFonts w:ascii="Calibri Light" w:eastAsia="Times New Roman" w:hAnsi="Calibri Light" w:cs="Calibri Light"/>
          <w:color w:val="2F5496"/>
          <w:kern w:val="36"/>
          <w:sz w:val="32"/>
          <w:szCs w:val="32"/>
          <w:lang w:val="it-IT"/>
        </w:rPr>
      </w:pPr>
      <w:bookmarkStart w:id="4" w:name="_Toc36635845"/>
      <w:r w:rsidRPr="009E2143">
        <w:rPr>
          <w:rFonts w:ascii="Calibri Light" w:eastAsia="Times New Roman" w:hAnsi="Calibri Light" w:cs="Calibri Light"/>
          <w:color w:val="2F5496"/>
          <w:kern w:val="36"/>
          <w:sz w:val="32"/>
          <w:szCs w:val="32"/>
          <w:lang w:val="it-IT"/>
        </w:rPr>
        <w:t>III Media pluralism</w:t>
      </w:r>
      <w:bookmarkEnd w:id="4"/>
      <w:r w:rsidRPr="009E2143">
        <w:rPr>
          <w:rFonts w:ascii="Calibri Light" w:eastAsia="Times New Roman" w:hAnsi="Calibri Light" w:cs="Calibri Light"/>
          <w:color w:val="2F5496"/>
          <w:kern w:val="36"/>
          <w:sz w:val="32"/>
          <w:szCs w:val="32"/>
          <w:lang w:val="it-IT"/>
        </w:rPr>
        <w:t xml:space="preserve"> </w:t>
      </w:r>
    </w:p>
    <w:p w14:paraId="0B609A6E" w14:textId="77777777" w:rsidR="006D6B15" w:rsidRPr="009E2143" w:rsidRDefault="006D6B15" w:rsidP="006D6B15">
      <w:pPr>
        <w:keepNext/>
        <w:spacing w:before="320"/>
        <w:outlineLvl w:val="0"/>
        <w:rPr>
          <w:rFonts w:ascii="Calibri Light" w:eastAsia="Times New Roman" w:hAnsi="Calibri Light" w:cs="Calibri Light"/>
          <w:color w:val="2F5496"/>
          <w:kern w:val="36"/>
          <w:sz w:val="32"/>
          <w:szCs w:val="32"/>
          <w:lang w:val="it-IT"/>
        </w:rPr>
      </w:pPr>
    </w:p>
    <w:p w14:paraId="141117B3" w14:textId="77777777" w:rsidR="006D6B15" w:rsidRPr="009E2143" w:rsidRDefault="006D6B15" w:rsidP="006D6B15">
      <w:pPr>
        <w:keepNext/>
        <w:spacing w:before="320"/>
        <w:outlineLvl w:val="0"/>
        <w:rPr>
          <w:rFonts w:ascii="Calibri Light" w:eastAsia="Times New Roman" w:hAnsi="Calibri Light" w:cs="Calibri Light"/>
          <w:color w:val="2F5496"/>
          <w:kern w:val="36"/>
          <w:sz w:val="32"/>
          <w:szCs w:val="32"/>
          <w:lang w:val="it-IT"/>
        </w:rPr>
      </w:pPr>
    </w:p>
    <w:p w14:paraId="6EC6E82B" w14:textId="77777777" w:rsidR="006D6B15" w:rsidRPr="006D6B15" w:rsidRDefault="006D6B15" w:rsidP="006D6B15">
      <w:pPr>
        <w:keepNext/>
        <w:spacing w:before="320"/>
        <w:outlineLvl w:val="0"/>
        <w:rPr>
          <w:rFonts w:ascii="Calibri Light" w:eastAsia="Times New Roman" w:hAnsi="Calibri Light" w:cs="Calibri Light"/>
          <w:color w:val="2F5496"/>
          <w:kern w:val="36"/>
          <w:sz w:val="32"/>
          <w:szCs w:val="32"/>
          <w:lang w:val="en-US"/>
        </w:rPr>
      </w:pPr>
      <w:bookmarkStart w:id="5" w:name="_Toc36635858"/>
      <w:r w:rsidRPr="006D6B15">
        <w:rPr>
          <w:rFonts w:ascii="Calibri Light" w:eastAsia="Times New Roman" w:hAnsi="Calibri Light" w:cs="Calibri Light"/>
          <w:color w:val="2F5496"/>
          <w:kern w:val="36"/>
          <w:sz w:val="32"/>
          <w:szCs w:val="32"/>
          <w:lang w:val="en-US"/>
        </w:rPr>
        <w:t>IV Other institutional issues related to checks and balances</w:t>
      </w:r>
      <w:bookmarkEnd w:id="5"/>
      <w:r w:rsidRPr="006D6B15">
        <w:rPr>
          <w:rFonts w:ascii="Calibri Light" w:eastAsia="Times New Roman" w:hAnsi="Calibri Light" w:cs="Calibri Light"/>
          <w:color w:val="2F5496"/>
          <w:kern w:val="36"/>
          <w:sz w:val="32"/>
          <w:szCs w:val="32"/>
          <w:lang w:val="en-US"/>
        </w:rPr>
        <w:t xml:space="preserve"> </w:t>
      </w:r>
    </w:p>
    <w:p w14:paraId="5FC5B806" w14:textId="77777777" w:rsidR="006D6B15" w:rsidRPr="006D6B15" w:rsidRDefault="006D6B15" w:rsidP="006D6B15">
      <w:pPr>
        <w:rPr>
          <w:rFonts w:cs="Arial"/>
          <w:color w:val="FFFFFF" w:themeColor="background1"/>
          <w:sz w:val="22"/>
          <w:szCs w:val="22"/>
          <w:shd w:val="clear" w:color="auto" w:fill="1F3864" w:themeFill="accent1" w:themeFillShade="80"/>
          <w:lang w:val="en-US"/>
        </w:rPr>
      </w:pPr>
    </w:p>
    <w:p w14:paraId="44E69804" w14:textId="77777777" w:rsidR="006D6B15" w:rsidRPr="008B6B20" w:rsidRDefault="006D6B15">
      <w:pPr>
        <w:rPr>
          <w:rFonts w:cs="Arial"/>
          <w:color w:val="FFFFFF" w:themeColor="background1"/>
          <w:sz w:val="22"/>
          <w:szCs w:val="22"/>
          <w:shd w:val="clear" w:color="auto" w:fill="1F3864" w:themeFill="accent1" w:themeFillShade="80"/>
          <w:lang w:val="en-US"/>
        </w:rPr>
      </w:pPr>
    </w:p>
    <w:sectPr w:rsidR="006D6B15" w:rsidRPr="008B6B20" w:rsidSect="007B3B82">
      <w:footerReference w:type="default" r:id="rId22"/>
      <w:footerReference w:type="first" r:id="rId2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CD8C4" w14:textId="77777777" w:rsidR="00073A8A" w:rsidRDefault="00073A8A" w:rsidP="00857FF1">
      <w:r>
        <w:separator/>
      </w:r>
    </w:p>
  </w:endnote>
  <w:endnote w:type="continuationSeparator" w:id="0">
    <w:p w14:paraId="1B57ED05" w14:textId="77777777" w:rsidR="00073A8A" w:rsidRDefault="00073A8A"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47B9E" w14:textId="77777777" w:rsidR="00073A8A" w:rsidRDefault="00073A8A" w:rsidP="00857FF1">
      <w:r>
        <w:separator/>
      </w:r>
    </w:p>
  </w:footnote>
  <w:footnote w:type="continuationSeparator" w:id="0">
    <w:p w14:paraId="1F1C4D41" w14:textId="77777777" w:rsidR="00073A8A" w:rsidRDefault="00073A8A"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76B68"/>
    <w:multiLevelType w:val="hybridMultilevel"/>
    <w:tmpl w:val="240C69B2"/>
    <w:lvl w:ilvl="0" w:tplc="29F4D8F8">
      <w:start w:val="1"/>
      <w:numFmt w:val="decimal"/>
      <w:lvlText w:val="%1."/>
      <w:lvlJc w:val="left"/>
      <w:pPr>
        <w:ind w:left="720" w:hanging="360"/>
      </w:pPr>
    </w:lvl>
    <w:lvl w:ilvl="1" w:tplc="5F9682A0">
      <w:start w:val="1"/>
      <w:numFmt w:val="lowerLetter"/>
      <w:lvlText w:val="%2."/>
      <w:lvlJc w:val="left"/>
      <w:pPr>
        <w:ind w:left="1440" w:hanging="360"/>
      </w:pPr>
    </w:lvl>
    <w:lvl w:ilvl="2" w:tplc="C7220158">
      <w:start w:val="1"/>
      <w:numFmt w:val="lowerRoman"/>
      <w:lvlText w:val="%3."/>
      <w:lvlJc w:val="right"/>
      <w:pPr>
        <w:ind w:left="2160" w:hanging="180"/>
      </w:pPr>
    </w:lvl>
    <w:lvl w:ilvl="3" w:tplc="DF068E62">
      <w:start w:val="1"/>
      <w:numFmt w:val="decimal"/>
      <w:lvlText w:val="%4."/>
      <w:lvlJc w:val="left"/>
      <w:pPr>
        <w:ind w:left="2880" w:hanging="360"/>
      </w:pPr>
    </w:lvl>
    <w:lvl w:ilvl="4" w:tplc="BF00FA22">
      <w:start w:val="1"/>
      <w:numFmt w:val="lowerLetter"/>
      <w:lvlText w:val="%5."/>
      <w:lvlJc w:val="left"/>
      <w:pPr>
        <w:ind w:left="3600" w:hanging="360"/>
      </w:pPr>
    </w:lvl>
    <w:lvl w:ilvl="5" w:tplc="902E99CE">
      <w:start w:val="1"/>
      <w:numFmt w:val="lowerRoman"/>
      <w:lvlText w:val="%6."/>
      <w:lvlJc w:val="right"/>
      <w:pPr>
        <w:ind w:left="4320" w:hanging="180"/>
      </w:pPr>
    </w:lvl>
    <w:lvl w:ilvl="6" w:tplc="2472ABDA">
      <w:start w:val="1"/>
      <w:numFmt w:val="decimal"/>
      <w:lvlText w:val="%7."/>
      <w:lvlJc w:val="left"/>
      <w:pPr>
        <w:ind w:left="5040" w:hanging="360"/>
      </w:pPr>
    </w:lvl>
    <w:lvl w:ilvl="7" w:tplc="5B703CC4">
      <w:start w:val="1"/>
      <w:numFmt w:val="lowerLetter"/>
      <w:lvlText w:val="%8."/>
      <w:lvlJc w:val="left"/>
      <w:pPr>
        <w:ind w:left="5760" w:hanging="360"/>
      </w:pPr>
    </w:lvl>
    <w:lvl w:ilvl="8" w:tplc="8556AECE">
      <w:start w:val="1"/>
      <w:numFmt w:val="lowerRoman"/>
      <w:lvlText w:val="%9."/>
      <w:lvlJc w:val="right"/>
      <w:pPr>
        <w:ind w:left="6480" w:hanging="180"/>
      </w:pPr>
    </w:lvl>
  </w:abstractNum>
  <w:abstractNum w:abstractNumId="1"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5" w15:restartNumberingAfterBreak="0">
    <w:nsid w:val="1264449C"/>
    <w:multiLevelType w:val="hybridMultilevel"/>
    <w:tmpl w:val="B17455EA"/>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464E598A"/>
    <w:multiLevelType w:val="hybridMultilevel"/>
    <w:tmpl w:val="750CC078"/>
    <w:lvl w:ilvl="0" w:tplc="040C0001">
      <w:start w:val="1"/>
      <w:numFmt w:val="bullet"/>
      <w:lvlText w:val=""/>
      <w:lvlJc w:val="left"/>
      <w:pPr>
        <w:ind w:left="768" w:hanging="360"/>
      </w:pPr>
      <w:rPr>
        <w:rFonts w:ascii="Symbol" w:hAnsi="Symbol" w:hint="default"/>
      </w:rPr>
    </w:lvl>
    <w:lvl w:ilvl="1" w:tplc="040C0003">
      <w:start w:val="1"/>
      <w:numFmt w:val="bullet"/>
      <w:lvlText w:val="o"/>
      <w:lvlJc w:val="left"/>
      <w:pPr>
        <w:ind w:left="1488" w:hanging="360"/>
      </w:pPr>
      <w:rPr>
        <w:rFonts w:ascii="Courier New" w:hAnsi="Courier New" w:cs="Courier New" w:hint="default"/>
      </w:rPr>
    </w:lvl>
    <w:lvl w:ilvl="2" w:tplc="040C0005">
      <w:start w:val="1"/>
      <w:numFmt w:val="bullet"/>
      <w:lvlText w:val=""/>
      <w:lvlJc w:val="left"/>
      <w:pPr>
        <w:ind w:left="2208" w:hanging="360"/>
      </w:pPr>
      <w:rPr>
        <w:rFonts w:ascii="Wingdings" w:hAnsi="Wingdings" w:hint="default"/>
      </w:rPr>
    </w:lvl>
    <w:lvl w:ilvl="3" w:tplc="040C0001">
      <w:start w:val="1"/>
      <w:numFmt w:val="bullet"/>
      <w:lvlText w:val=""/>
      <w:lvlJc w:val="left"/>
      <w:pPr>
        <w:ind w:left="2928" w:hanging="360"/>
      </w:pPr>
      <w:rPr>
        <w:rFonts w:ascii="Symbol" w:hAnsi="Symbol" w:hint="default"/>
      </w:rPr>
    </w:lvl>
    <w:lvl w:ilvl="4" w:tplc="040C0003">
      <w:start w:val="1"/>
      <w:numFmt w:val="bullet"/>
      <w:lvlText w:val="o"/>
      <w:lvlJc w:val="left"/>
      <w:pPr>
        <w:ind w:left="3648" w:hanging="360"/>
      </w:pPr>
      <w:rPr>
        <w:rFonts w:ascii="Courier New" w:hAnsi="Courier New" w:cs="Courier New" w:hint="default"/>
      </w:rPr>
    </w:lvl>
    <w:lvl w:ilvl="5" w:tplc="040C0005">
      <w:start w:val="1"/>
      <w:numFmt w:val="bullet"/>
      <w:lvlText w:val=""/>
      <w:lvlJc w:val="left"/>
      <w:pPr>
        <w:ind w:left="4368" w:hanging="360"/>
      </w:pPr>
      <w:rPr>
        <w:rFonts w:ascii="Wingdings" w:hAnsi="Wingdings" w:hint="default"/>
      </w:rPr>
    </w:lvl>
    <w:lvl w:ilvl="6" w:tplc="040C0001">
      <w:start w:val="1"/>
      <w:numFmt w:val="bullet"/>
      <w:lvlText w:val=""/>
      <w:lvlJc w:val="left"/>
      <w:pPr>
        <w:ind w:left="5088" w:hanging="360"/>
      </w:pPr>
      <w:rPr>
        <w:rFonts w:ascii="Symbol" w:hAnsi="Symbol" w:hint="default"/>
      </w:rPr>
    </w:lvl>
    <w:lvl w:ilvl="7" w:tplc="040C0003">
      <w:start w:val="1"/>
      <w:numFmt w:val="bullet"/>
      <w:lvlText w:val="o"/>
      <w:lvlJc w:val="left"/>
      <w:pPr>
        <w:ind w:left="5808" w:hanging="360"/>
      </w:pPr>
      <w:rPr>
        <w:rFonts w:ascii="Courier New" w:hAnsi="Courier New" w:cs="Courier New" w:hint="default"/>
      </w:rPr>
    </w:lvl>
    <w:lvl w:ilvl="8" w:tplc="040C0005">
      <w:start w:val="1"/>
      <w:numFmt w:val="bullet"/>
      <w:lvlText w:val=""/>
      <w:lvlJc w:val="left"/>
      <w:pPr>
        <w:ind w:left="6528" w:hanging="360"/>
      </w:pPr>
      <w:rPr>
        <w:rFonts w:ascii="Wingdings" w:hAnsi="Wingdings" w:hint="default"/>
      </w:rPr>
    </w:lvl>
  </w:abstractNum>
  <w:abstractNum w:abstractNumId="11" w15:restartNumberingAfterBreak="0">
    <w:nsid w:val="50D0FDDC"/>
    <w:multiLevelType w:val="hybridMultilevel"/>
    <w:tmpl w:val="AA8070FA"/>
    <w:lvl w:ilvl="0" w:tplc="AD40F93A">
      <w:start w:val="1"/>
      <w:numFmt w:val="bullet"/>
      <w:lvlText w:val=""/>
      <w:lvlJc w:val="left"/>
      <w:pPr>
        <w:ind w:left="720" w:hanging="360"/>
      </w:pPr>
      <w:rPr>
        <w:rFonts w:ascii="Symbol" w:hAnsi="Symbol" w:hint="default"/>
      </w:rPr>
    </w:lvl>
    <w:lvl w:ilvl="1" w:tplc="CA9C5A36">
      <w:start w:val="1"/>
      <w:numFmt w:val="bullet"/>
      <w:lvlText w:val="o"/>
      <w:lvlJc w:val="left"/>
      <w:pPr>
        <w:ind w:left="1440" w:hanging="360"/>
      </w:pPr>
      <w:rPr>
        <w:rFonts w:ascii="Courier New" w:hAnsi="Courier New" w:hint="default"/>
      </w:rPr>
    </w:lvl>
    <w:lvl w:ilvl="2" w:tplc="42FACC38">
      <w:start w:val="1"/>
      <w:numFmt w:val="bullet"/>
      <w:lvlText w:val=""/>
      <w:lvlJc w:val="left"/>
      <w:pPr>
        <w:ind w:left="2160" w:hanging="360"/>
      </w:pPr>
      <w:rPr>
        <w:rFonts w:ascii="Wingdings" w:hAnsi="Wingdings" w:hint="default"/>
      </w:rPr>
    </w:lvl>
    <w:lvl w:ilvl="3" w:tplc="1A929928">
      <w:start w:val="1"/>
      <w:numFmt w:val="bullet"/>
      <w:lvlText w:val=""/>
      <w:lvlJc w:val="left"/>
      <w:pPr>
        <w:ind w:left="2880" w:hanging="360"/>
      </w:pPr>
      <w:rPr>
        <w:rFonts w:ascii="Symbol" w:hAnsi="Symbol" w:hint="default"/>
      </w:rPr>
    </w:lvl>
    <w:lvl w:ilvl="4" w:tplc="2B2EE9FC">
      <w:start w:val="1"/>
      <w:numFmt w:val="bullet"/>
      <w:lvlText w:val="o"/>
      <w:lvlJc w:val="left"/>
      <w:pPr>
        <w:ind w:left="3600" w:hanging="360"/>
      </w:pPr>
      <w:rPr>
        <w:rFonts w:ascii="Courier New" w:hAnsi="Courier New" w:hint="default"/>
      </w:rPr>
    </w:lvl>
    <w:lvl w:ilvl="5" w:tplc="2E9CA402">
      <w:start w:val="1"/>
      <w:numFmt w:val="bullet"/>
      <w:lvlText w:val=""/>
      <w:lvlJc w:val="left"/>
      <w:pPr>
        <w:ind w:left="4320" w:hanging="360"/>
      </w:pPr>
      <w:rPr>
        <w:rFonts w:ascii="Wingdings" w:hAnsi="Wingdings" w:hint="default"/>
      </w:rPr>
    </w:lvl>
    <w:lvl w:ilvl="6" w:tplc="9250A65C">
      <w:start w:val="1"/>
      <w:numFmt w:val="bullet"/>
      <w:lvlText w:val=""/>
      <w:lvlJc w:val="left"/>
      <w:pPr>
        <w:ind w:left="5040" w:hanging="360"/>
      </w:pPr>
      <w:rPr>
        <w:rFonts w:ascii="Symbol" w:hAnsi="Symbol" w:hint="default"/>
      </w:rPr>
    </w:lvl>
    <w:lvl w:ilvl="7" w:tplc="8A14C86A">
      <w:start w:val="1"/>
      <w:numFmt w:val="bullet"/>
      <w:lvlText w:val="o"/>
      <w:lvlJc w:val="left"/>
      <w:pPr>
        <w:ind w:left="5760" w:hanging="360"/>
      </w:pPr>
      <w:rPr>
        <w:rFonts w:ascii="Courier New" w:hAnsi="Courier New" w:hint="default"/>
      </w:rPr>
    </w:lvl>
    <w:lvl w:ilvl="8" w:tplc="20E43DE4">
      <w:start w:val="1"/>
      <w:numFmt w:val="bullet"/>
      <w:lvlText w:val=""/>
      <w:lvlJc w:val="left"/>
      <w:pPr>
        <w:ind w:left="6480" w:hanging="360"/>
      </w:pPr>
      <w:rPr>
        <w:rFonts w:ascii="Wingdings" w:hAnsi="Wingdings" w:hint="default"/>
      </w:rPr>
    </w:lvl>
  </w:abstractNum>
  <w:num w:numId="1" w16cid:durableId="15568883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3220263">
    <w:abstractNumId w:val="3"/>
  </w:num>
  <w:num w:numId="3" w16cid:durableId="1419709812">
    <w:abstractNumId w:val="6"/>
  </w:num>
  <w:num w:numId="4" w16cid:durableId="535509000">
    <w:abstractNumId w:val="4"/>
  </w:num>
  <w:num w:numId="5" w16cid:durableId="189495804">
    <w:abstractNumId w:val="9"/>
  </w:num>
  <w:num w:numId="6" w16cid:durableId="2070767956">
    <w:abstractNumId w:val="5"/>
  </w:num>
  <w:num w:numId="7" w16cid:durableId="1484002443">
    <w:abstractNumId w:val="7"/>
  </w:num>
  <w:num w:numId="8" w16cid:durableId="1293099640">
    <w:abstractNumId w:val="7"/>
  </w:num>
  <w:num w:numId="9" w16cid:durableId="196361223">
    <w:abstractNumId w:val="2"/>
  </w:num>
  <w:num w:numId="10" w16cid:durableId="1182088185">
    <w:abstractNumId w:val="8"/>
  </w:num>
  <w:num w:numId="11" w16cid:durableId="360477782">
    <w:abstractNumId w:val="11"/>
  </w:num>
  <w:num w:numId="12" w16cid:durableId="1540388124">
    <w:abstractNumId w:val="0"/>
  </w:num>
  <w:num w:numId="13" w16cid:durableId="52567540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L Saskia">
    <w15:presenceInfo w15:providerId="AD" w15:userId="S::Saskia.DANIELL@coe.int::af894d89-3540-492a-8228-65f27ca448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230EA"/>
    <w:rsid w:val="00032B5D"/>
    <w:rsid w:val="000500C4"/>
    <w:rsid w:val="00057AA5"/>
    <w:rsid w:val="00062CBC"/>
    <w:rsid w:val="00064AF2"/>
    <w:rsid w:val="000707C5"/>
    <w:rsid w:val="00073A8A"/>
    <w:rsid w:val="00084C0B"/>
    <w:rsid w:val="00085157"/>
    <w:rsid w:val="00095F4E"/>
    <w:rsid w:val="000A0236"/>
    <w:rsid w:val="000B223F"/>
    <w:rsid w:val="000B4984"/>
    <w:rsid w:val="000C1783"/>
    <w:rsid w:val="000E51C1"/>
    <w:rsid w:val="000F73A4"/>
    <w:rsid w:val="001029E2"/>
    <w:rsid w:val="0011349E"/>
    <w:rsid w:val="00123EAE"/>
    <w:rsid w:val="0012499E"/>
    <w:rsid w:val="001257E8"/>
    <w:rsid w:val="001272D8"/>
    <w:rsid w:val="001279C3"/>
    <w:rsid w:val="00152FC1"/>
    <w:rsid w:val="00157DFE"/>
    <w:rsid w:val="001621AD"/>
    <w:rsid w:val="00167680"/>
    <w:rsid w:val="001708DF"/>
    <w:rsid w:val="00172847"/>
    <w:rsid w:val="00184BFB"/>
    <w:rsid w:val="00187CD1"/>
    <w:rsid w:val="00194CC7"/>
    <w:rsid w:val="001A0B36"/>
    <w:rsid w:val="001A0CF1"/>
    <w:rsid w:val="001B6D5F"/>
    <w:rsid w:val="001C77D8"/>
    <w:rsid w:val="001D0AE0"/>
    <w:rsid w:val="001E0EB7"/>
    <w:rsid w:val="002027E7"/>
    <w:rsid w:val="002077C4"/>
    <w:rsid w:val="0021059A"/>
    <w:rsid w:val="00252DBE"/>
    <w:rsid w:val="00252F46"/>
    <w:rsid w:val="00254902"/>
    <w:rsid w:val="00255C44"/>
    <w:rsid w:val="002628DB"/>
    <w:rsid w:val="00263456"/>
    <w:rsid w:val="00265693"/>
    <w:rsid w:val="002665BC"/>
    <w:rsid w:val="00267E73"/>
    <w:rsid w:val="00271945"/>
    <w:rsid w:val="00282225"/>
    <w:rsid w:val="0028366A"/>
    <w:rsid w:val="002864ED"/>
    <w:rsid w:val="00287289"/>
    <w:rsid w:val="002911B3"/>
    <w:rsid w:val="002A4E7E"/>
    <w:rsid w:val="002A5584"/>
    <w:rsid w:val="002B2FF2"/>
    <w:rsid w:val="002C68B0"/>
    <w:rsid w:val="002D1BBF"/>
    <w:rsid w:val="002D3720"/>
    <w:rsid w:val="002D61AB"/>
    <w:rsid w:val="002E1CA9"/>
    <w:rsid w:val="002E779C"/>
    <w:rsid w:val="0030207D"/>
    <w:rsid w:val="003048B6"/>
    <w:rsid w:val="003152F6"/>
    <w:rsid w:val="0033407D"/>
    <w:rsid w:val="00351BFE"/>
    <w:rsid w:val="00354D3F"/>
    <w:rsid w:val="003572C2"/>
    <w:rsid w:val="0036132D"/>
    <w:rsid w:val="00365602"/>
    <w:rsid w:val="0036606F"/>
    <w:rsid w:val="00372B8F"/>
    <w:rsid w:val="00372F92"/>
    <w:rsid w:val="003732BD"/>
    <w:rsid w:val="00380DB3"/>
    <w:rsid w:val="003A5BC3"/>
    <w:rsid w:val="003F0C2C"/>
    <w:rsid w:val="003F4E0F"/>
    <w:rsid w:val="004012A1"/>
    <w:rsid w:val="004013FD"/>
    <w:rsid w:val="00405191"/>
    <w:rsid w:val="00411CD7"/>
    <w:rsid w:val="00411F51"/>
    <w:rsid w:val="00424436"/>
    <w:rsid w:val="00424AE6"/>
    <w:rsid w:val="00434E92"/>
    <w:rsid w:val="00443197"/>
    <w:rsid w:val="00450400"/>
    <w:rsid w:val="00457269"/>
    <w:rsid w:val="00464735"/>
    <w:rsid w:val="00471625"/>
    <w:rsid w:val="004857F6"/>
    <w:rsid w:val="00491D94"/>
    <w:rsid w:val="0049205D"/>
    <w:rsid w:val="00496B58"/>
    <w:rsid w:val="004A628B"/>
    <w:rsid w:val="004B2966"/>
    <w:rsid w:val="004B4189"/>
    <w:rsid w:val="004C29C8"/>
    <w:rsid w:val="004C37B3"/>
    <w:rsid w:val="004C7D34"/>
    <w:rsid w:val="004D4A7E"/>
    <w:rsid w:val="004D4CB4"/>
    <w:rsid w:val="004E1ACA"/>
    <w:rsid w:val="004E3023"/>
    <w:rsid w:val="004E447E"/>
    <w:rsid w:val="004E72B6"/>
    <w:rsid w:val="00530EC5"/>
    <w:rsid w:val="0054551A"/>
    <w:rsid w:val="00564272"/>
    <w:rsid w:val="0056639A"/>
    <w:rsid w:val="0057123C"/>
    <w:rsid w:val="005728A3"/>
    <w:rsid w:val="00573CDC"/>
    <w:rsid w:val="005813CD"/>
    <w:rsid w:val="005837EC"/>
    <w:rsid w:val="00597295"/>
    <w:rsid w:val="005A3425"/>
    <w:rsid w:val="005B2725"/>
    <w:rsid w:val="005B37E9"/>
    <w:rsid w:val="005D4AD7"/>
    <w:rsid w:val="005D7294"/>
    <w:rsid w:val="005E17CB"/>
    <w:rsid w:val="005E1A73"/>
    <w:rsid w:val="005E381E"/>
    <w:rsid w:val="00600E03"/>
    <w:rsid w:val="00602398"/>
    <w:rsid w:val="0061214D"/>
    <w:rsid w:val="00621E08"/>
    <w:rsid w:val="00636AF8"/>
    <w:rsid w:val="00647D6B"/>
    <w:rsid w:val="006502C5"/>
    <w:rsid w:val="0065310F"/>
    <w:rsid w:val="0066401C"/>
    <w:rsid w:val="00680789"/>
    <w:rsid w:val="00683C6A"/>
    <w:rsid w:val="006871F9"/>
    <w:rsid w:val="006952AF"/>
    <w:rsid w:val="0069684E"/>
    <w:rsid w:val="006B6601"/>
    <w:rsid w:val="006C5AF1"/>
    <w:rsid w:val="006C758C"/>
    <w:rsid w:val="006D3771"/>
    <w:rsid w:val="006D695E"/>
    <w:rsid w:val="006D6B15"/>
    <w:rsid w:val="00702CE9"/>
    <w:rsid w:val="007323D4"/>
    <w:rsid w:val="00734D8B"/>
    <w:rsid w:val="00742FA8"/>
    <w:rsid w:val="00744D22"/>
    <w:rsid w:val="00756962"/>
    <w:rsid w:val="0076072F"/>
    <w:rsid w:val="0076444E"/>
    <w:rsid w:val="007959C1"/>
    <w:rsid w:val="007A270E"/>
    <w:rsid w:val="007B3B82"/>
    <w:rsid w:val="007D198D"/>
    <w:rsid w:val="007D262D"/>
    <w:rsid w:val="007E2BE3"/>
    <w:rsid w:val="007F2A4E"/>
    <w:rsid w:val="007F352D"/>
    <w:rsid w:val="008026A9"/>
    <w:rsid w:val="008131ED"/>
    <w:rsid w:val="00833496"/>
    <w:rsid w:val="00833AA1"/>
    <w:rsid w:val="00840C74"/>
    <w:rsid w:val="00857FF1"/>
    <w:rsid w:val="008617BA"/>
    <w:rsid w:val="00861CFB"/>
    <w:rsid w:val="0087426C"/>
    <w:rsid w:val="00887319"/>
    <w:rsid w:val="00893779"/>
    <w:rsid w:val="008A6094"/>
    <w:rsid w:val="008B037C"/>
    <w:rsid w:val="008B6B20"/>
    <w:rsid w:val="008C2E4F"/>
    <w:rsid w:val="008C38E9"/>
    <w:rsid w:val="008C3C2D"/>
    <w:rsid w:val="008C51BC"/>
    <w:rsid w:val="008C605D"/>
    <w:rsid w:val="008D124A"/>
    <w:rsid w:val="008D5A29"/>
    <w:rsid w:val="008E1947"/>
    <w:rsid w:val="0090195D"/>
    <w:rsid w:val="00906927"/>
    <w:rsid w:val="00906B87"/>
    <w:rsid w:val="00945E9C"/>
    <w:rsid w:val="009522DA"/>
    <w:rsid w:val="009644F3"/>
    <w:rsid w:val="00976663"/>
    <w:rsid w:val="009841C3"/>
    <w:rsid w:val="009850FB"/>
    <w:rsid w:val="009854E0"/>
    <w:rsid w:val="00990630"/>
    <w:rsid w:val="009A2638"/>
    <w:rsid w:val="009A43B8"/>
    <w:rsid w:val="009B0401"/>
    <w:rsid w:val="009B7531"/>
    <w:rsid w:val="009C37BA"/>
    <w:rsid w:val="009C3A55"/>
    <w:rsid w:val="009C537B"/>
    <w:rsid w:val="009D5FD8"/>
    <w:rsid w:val="009D68A7"/>
    <w:rsid w:val="009E2143"/>
    <w:rsid w:val="009E4C05"/>
    <w:rsid w:val="009F137B"/>
    <w:rsid w:val="00A0524A"/>
    <w:rsid w:val="00A36CCA"/>
    <w:rsid w:val="00A42F38"/>
    <w:rsid w:val="00A43E9B"/>
    <w:rsid w:val="00A476D7"/>
    <w:rsid w:val="00A47E2D"/>
    <w:rsid w:val="00A52988"/>
    <w:rsid w:val="00A53917"/>
    <w:rsid w:val="00A54D19"/>
    <w:rsid w:val="00A70E18"/>
    <w:rsid w:val="00A7220C"/>
    <w:rsid w:val="00A726B1"/>
    <w:rsid w:val="00A745D4"/>
    <w:rsid w:val="00A75E87"/>
    <w:rsid w:val="00A82B5B"/>
    <w:rsid w:val="00A84BB2"/>
    <w:rsid w:val="00AA1BBD"/>
    <w:rsid w:val="00AA2156"/>
    <w:rsid w:val="00AA476A"/>
    <w:rsid w:val="00AB0698"/>
    <w:rsid w:val="00AB195E"/>
    <w:rsid w:val="00AC541D"/>
    <w:rsid w:val="00AC6FD7"/>
    <w:rsid w:val="00AD3544"/>
    <w:rsid w:val="00AD4A17"/>
    <w:rsid w:val="00AD5BD0"/>
    <w:rsid w:val="00AF2279"/>
    <w:rsid w:val="00AF2511"/>
    <w:rsid w:val="00AF4B2D"/>
    <w:rsid w:val="00AF5605"/>
    <w:rsid w:val="00B22E3E"/>
    <w:rsid w:val="00B2424D"/>
    <w:rsid w:val="00B35012"/>
    <w:rsid w:val="00B36582"/>
    <w:rsid w:val="00B52587"/>
    <w:rsid w:val="00B807B6"/>
    <w:rsid w:val="00BD211A"/>
    <w:rsid w:val="00BD26EA"/>
    <w:rsid w:val="00BE1EE0"/>
    <w:rsid w:val="00BE2ADB"/>
    <w:rsid w:val="00BF5595"/>
    <w:rsid w:val="00C003A4"/>
    <w:rsid w:val="00C06969"/>
    <w:rsid w:val="00C06D56"/>
    <w:rsid w:val="00C45527"/>
    <w:rsid w:val="00C5444D"/>
    <w:rsid w:val="00C75135"/>
    <w:rsid w:val="00C848FF"/>
    <w:rsid w:val="00C86F4B"/>
    <w:rsid w:val="00CC09C0"/>
    <w:rsid w:val="00CC0E4F"/>
    <w:rsid w:val="00CC5ABF"/>
    <w:rsid w:val="00CD24F2"/>
    <w:rsid w:val="00CD7F9C"/>
    <w:rsid w:val="00CF0660"/>
    <w:rsid w:val="00CF1C6F"/>
    <w:rsid w:val="00D15B02"/>
    <w:rsid w:val="00D20872"/>
    <w:rsid w:val="00D31EA3"/>
    <w:rsid w:val="00D36177"/>
    <w:rsid w:val="00D37016"/>
    <w:rsid w:val="00D447C9"/>
    <w:rsid w:val="00D45CD6"/>
    <w:rsid w:val="00D657E4"/>
    <w:rsid w:val="00D66D1D"/>
    <w:rsid w:val="00D96E9B"/>
    <w:rsid w:val="00DA1D6A"/>
    <w:rsid w:val="00DA55DC"/>
    <w:rsid w:val="00DB1AB7"/>
    <w:rsid w:val="00DC7320"/>
    <w:rsid w:val="00DF19D6"/>
    <w:rsid w:val="00DF7C08"/>
    <w:rsid w:val="00E13798"/>
    <w:rsid w:val="00E147EE"/>
    <w:rsid w:val="00E14B02"/>
    <w:rsid w:val="00E2087D"/>
    <w:rsid w:val="00E26C9B"/>
    <w:rsid w:val="00E27691"/>
    <w:rsid w:val="00E429AF"/>
    <w:rsid w:val="00E56906"/>
    <w:rsid w:val="00E57154"/>
    <w:rsid w:val="00E81708"/>
    <w:rsid w:val="00E84DC1"/>
    <w:rsid w:val="00E90AB0"/>
    <w:rsid w:val="00EA39A6"/>
    <w:rsid w:val="00ED1080"/>
    <w:rsid w:val="00ED2EDB"/>
    <w:rsid w:val="00ED7B5B"/>
    <w:rsid w:val="00EE24A2"/>
    <w:rsid w:val="00EF5D3B"/>
    <w:rsid w:val="00F070DD"/>
    <w:rsid w:val="00F3151D"/>
    <w:rsid w:val="00F375C2"/>
    <w:rsid w:val="00F448D1"/>
    <w:rsid w:val="00F5679C"/>
    <w:rsid w:val="00F71177"/>
    <w:rsid w:val="00F7793C"/>
    <w:rsid w:val="00F8213F"/>
    <w:rsid w:val="00F847EB"/>
    <w:rsid w:val="00F91B36"/>
    <w:rsid w:val="00F973E9"/>
    <w:rsid w:val="00FA480D"/>
    <w:rsid w:val="00FB69AF"/>
    <w:rsid w:val="00FC1E1D"/>
    <w:rsid w:val="00FC335B"/>
    <w:rsid w:val="00FE3A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197"/>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36606F"/>
  </w:style>
  <w:style w:type="character" w:customStyle="1" w:styleId="gray">
    <w:name w:val="gray"/>
    <w:basedOn w:val="DefaultParagraphFont"/>
    <w:rsid w:val="0036606F"/>
  </w:style>
  <w:style w:type="character" w:customStyle="1" w:styleId="apple-converted-space">
    <w:name w:val="apple-converted-space"/>
    <w:basedOn w:val="DefaultParagraphFont"/>
    <w:rsid w:val="00E429AF"/>
  </w:style>
  <w:style w:type="paragraph" w:customStyle="1" w:styleId="COEHI">
    <w:name w:val="COE_HI"/>
    <w:basedOn w:val="Normal"/>
    <w:qFormat/>
    <w:rsid w:val="0076072F"/>
    <w:pPr>
      <w:numPr>
        <w:numId w:val="7"/>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4D4CB4"/>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4D4CB4"/>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4D4CB4"/>
    <w:rPr>
      <w:rFonts w:ascii="Calibri" w:eastAsiaTheme="minorHAnsi" w:hAnsi="Calibri" w:cs="Calibri"/>
      <w:sz w:val="22"/>
      <w:szCs w:val="22"/>
      <w:lang w:eastAsia="fr-FR"/>
    </w:rPr>
  </w:style>
  <w:style w:type="character" w:customStyle="1" w:styleId="docref1">
    <w:name w:val="docref1"/>
    <w:basedOn w:val="DefaultParagraphFont"/>
    <w:rsid w:val="002E1CA9"/>
    <w:rPr>
      <w:b/>
      <w:bCs/>
    </w:rPr>
  </w:style>
  <w:style w:type="paragraph" w:customStyle="1" w:styleId="xxxxxmsonormal">
    <w:name w:val="x_x_x_x_xmsonormal"/>
    <w:basedOn w:val="Normal"/>
    <w:rsid w:val="00EF5D3B"/>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0F73A4"/>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sbb9ee52a">
    <w:name w:val="sbb9ee52a"/>
    <w:basedOn w:val="DefaultParagraphFont"/>
    <w:rsid w:val="00E2087D"/>
  </w:style>
  <w:style w:type="character" w:customStyle="1" w:styleId="s4b8d41ee">
    <w:name w:val="s4b8d41ee"/>
    <w:basedOn w:val="DefaultParagraphFont"/>
    <w:rsid w:val="00E208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8041">
      <w:bodyDiv w:val="1"/>
      <w:marLeft w:val="0"/>
      <w:marRight w:val="0"/>
      <w:marTop w:val="0"/>
      <w:marBottom w:val="0"/>
      <w:divBdr>
        <w:top w:val="none" w:sz="0" w:space="0" w:color="auto"/>
        <w:left w:val="none" w:sz="0" w:space="0" w:color="auto"/>
        <w:bottom w:val="none" w:sz="0" w:space="0" w:color="auto"/>
        <w:right w:val="none" w:sz="0" w:space="0" w:color="auto"/>
      </w:divBdr>
    </w:div>
    <w:div w:id="64839450">
      <w:bodyDiv w:val="1"/>
      <w:marLeft w:val="0"/>
      <w:marRight w:val="0"/>
      <w:marTop w:val="0"/>
      <w:marBottom w:val="0"/>
      <w:divBdr>
        <w:top w:val="none" w:sz="0" w:space="0" w:color="auto"/>
        <w:left w:val="none" w:sz="0" w:space="0" w:color="auto"/>
        <w:bottom w:val="none" w:sz="0" w:space="0" w:color="auto"/>
        <w:right w:val="none" w:sz="0" w:space="0" w:color="auto"/>
      </w:divBdr>
    </w:div>
    <w:div w:id="71708715">
      <w:bodyDiv w:val="1"/>
      <w:marLeft w:val="0"/>
      <w:marRight w:val="0"/>
      <w:marTop w:val="0"/>
      <w:marBottom w:val="0"/>
      <w:divBdr>
        <w:top w:val="none" w:sz="0" w:space="0" w:color="auto"/>
        <w:left w:val="none" w:sz="0" w:space="0" w:color="auto"/>
        <w:bottom w:val="none" w:sz="0" w:space="0" w:color="auto"/>
        <w:right w:val="none" w:sz="0" w:space="0" w:color="auto"/>
      </w:divBdr>
    </w:div>
    <w:div w:id="124347574">
      <w:bodyDiv w:val="1"/>
      <w:marLeft w:val="0"/>
      <w:marRight w:val="0"/>
      <w:marTop w:val="0"/>
      <w:marBottom w:val="0"/>
      <w:divBdr>
        <w:top w:val="none" w:sz="0" w:space="0" w:color="auto"/>
        <w:left w:val="none" w:sz="0" w:space="0" w:color="auto"/>
        <w:bottom w:val="none" w:sz="0" w:space="0" w:color="auto"/>
        <w:right w:val="none" w:sz="0" w:space="0" w:color="auto"/>
      </w:divBdr>
    </w:div>
    <w:div w:id="218130379">
      <w:bodyDiv w:val="1"/>
      <w:marLeft w:val="0"/>
      <w:marRight w:val="0"/>
      <w:marTop w:val="0"/>
      <w:marBottom w:val="0"/>
      <w:divBdr>
        <w:top w:val="none" w:sz="0" w:space="0" w:color="auto"/>
        <w:left w:val="none" w:sz="0" w:space="0" w:color="auto"/>
        <w:bottom w:val="none" w:sz="0" w:space="0" w:color="auto"/>
        <w:right w:val="none" w:sz="0" w:space="0" w:color="auto"/>
      </w:divBdr>
    </w:div>
    <w:div w:id="313337188">
      <w:bodyDiv w:val="1"/>
      <w:marLeft w:val="0"/>
      <w:marRight w:val="0"/>
      <w:marTop w:val="0"/>
      <w:marBottom w:val="0"/>
      <w:divBdr>
        <w:top w:val="none" w:sz="0" w:space="0" w:color="auto"/>
        <w:left w:val="none" w:sz="0" w:space="0" w:color="auto"/>
        <w:bottom w:val="none" w:sz="0" w:space="0" w:color="auto"/>
        <w:right w:val="none" w:sz="0" w:space="0" w:color="auto"/>
      </w:divBdr>
    </w:div>
    <w:div w:id="523523242">
      <w:bodyDiv w:val="1"/>
      <w:marLeft w:val="0"/>
      <w:marRight w:val="0"/>
      <w:marTop w:val="0"/>
      <w:marBottom w:val="0"/>
      <w:divBdr>
        <w:top w:val="none" w:sz="0" w:space="0" w:color="auto"/>
        <w:left w:val="none" w:sz="0" w:space="0" w:color="auto"/>
        <w:bottom w:val="none" w:sz="0" w:space="0" w:color="auto"/>
        <w:right w:val="none" w:sz="0" w:space="0" w:color="auto"/>
      </w:divBdr>
    </w:div>
    <w:div w:id="538052941">
      <w:bodyDiv w:val="1"/>
      <w:marLeft w:val="0"/>
      <w:marRight w:val="0"/>
      <w:marTop w:val="0"/>
      <w:marBottom w:val="0"/>
      <w:divBdr>
        <w:top w:val="none" w:sz="0" w:space="0" w:color="auto"/>
        <w:left w:val="none" w:sz="0" w:space="0" w:color="auto"/>
        <w:bottom w:val="none" w:sz="0" w:space="0" w:color="auto"/>
        <w:right w:val="none" w:sz="0" w:space="0" w:color="auto"/>
      </w:divBdr>
    </w:div>
    <w:div w:id="618417380">
      <w:bodyDiv w:val="1"/>
      <w:marLeft w:val="0"/>
      <w:marRight w:val="0"/>
      <w:marTop w:val="0"/>
      <w:marBottom w:val="0"/>
      <w:divBdr>
        <w:top w:val="none" w:sz="0" w:space="0" w:color="auto"/>
        <w:left w:val="none" w:sz="0" w:space="0" w:color="auto"/>
        <w:bottom w:val="none" w:sz="0" w:space="0" w:color="auto"/>
        <w:right w:val="none" w:sz="0" w:space="0" w:color="auto"/>
      </w:divBdr>
    </w:div>
    <w:div w:id="619606956">
      <w:bodyDiv w:val="1"/>
      <w:marLeft w:val="0"/>
      <w:marRight w:val="0"/>
      <w:marTop w:val="0"/>
      <w:marBottom w:val="0"/>
      <w:divBdr>
        <w:top w:val="none" w:sz="0" w:space="0" w:color="auto"/>
        <w:left w:val="none" w:sz="0" w:space="0" w:color="auto"/>
        <w:bottom w:val="none" w:sz="0" w:space="0" w:color="auto"/>
        <w:right w:val="none" w:sz="0" w:space="0" w:color="auto"/>
      </w:divBdr>
    </w:div>
    <w:div w:id="633606943">
      <w:bodyDiv w:val="1"/>
      <w:marLeft w:val="0"/>
      <w:marRight w:val="0"/>
      <w:marTop w:val="0"/>
      <w:marBottom w:val="0"/>
      <w:divBdr>
        <w:top w:val="none" w:sz="0" w:space="0" w:color="auto"/>
        <w:left w:val="none" w:sz="0" w:space="0" w:color="auto"/>
        <w:bottom w:val="none" w:sz="0" w:space="0" w:color="auto"/>
        <w:right w:val="none" w:sz="0" w:space="0" w:color="auto"/>
      </w:divBdr>
    </w:div>
    <w:div w:id="683675764">
      <w:bodyDiv w:val="1"/>
      <w:marLeft w:val="0"/>
      <w:marRight w:val="0"/>
      <w:marTop w:val="0"/>
      <w:marBottom w:val="0"/>
      <w:divBdr>
        <w:top w:val="none" w:sz="0" w:space="0" w:color="auto"/>
        <w:left w:val="none" w:sz="0" w:space="0" w:color="auto"/>
        <w:bottom w:val="none" w:sz="0" w:space="0" w:color="auto"/>
        <w:right w:val="none" w:sz="0" w:space="0" w:color="auto"/>
      </w:divBdr>
    </w:div>
    <w:div w:id="888491158">
      <w:bodyDiv w:val="1"/>
      <w:marLeft w:val="0"/>
      <w:marRight w:val="0"/>
      <w:marTop w:val="0"/>
      <w:marBottom w:val="0"/>
      <w:divBdr>
        <w:top w:val="none" w:sz="0" w:space="0" w:color="auto"/>
        <w:left w:val="none" w:sz="0" w:space="0" w:color="auto"/>
        <w:bottom w:val="none" w:sz="0" w:space="0" w:color="auto"/>
        <w:right w:val="none" w:sz="0" w:space="0" w:color="auto"/>
      </w:divBdr>
    </w:div>
    <w:div w:id="1026323808">
      <w:bodyDiv w:val="1"/>
      <w:marLeft w:val="0"/>
      <w:marRight w:val="0"/>
      <w:marTop w:val="0"/>
      <w:marBottom w:val="0"/>
      <w:divBdr>
        <w:top w:val="none" w:sz="0" w:space="0" w:color="auto"/>
        <w:left w:val="none" w:sz="0" w:space="0" w:color="auto"/>
        <w:bottom w:val="none" w:sz="0" w:space="0" w:color="auto"/>
        <w:right w:val="none" w:sz="0" w:space="0" w:color="auto"/>
      </w:divBdr>
    </w:div>
    <w:div w:id="1048577900">
      <w:bodyDiv w:val="1"/>
      <w:marLeft w:val="0"/>
      <w:marRight w:val="0"/>
      <w:marTop w:val="0"/>
      <w:marBottom w:val="0"/>
      <w:divBdr>
        <w:top w:val="none" w:sz="0" w:space="0" w:color="auto"/>
        <w:left w:val="none" w:sz="0" w:space="0" w:color="auto"/>
        <w:bottom w:val="none" w:sz="0" w:space="0" w:color="auto"/>
        <w:right w:val="none" w:sz="0" w:space="0" w:color="auto"/>
      </w:divBdr>
    </w:div>
    <w:div w:id="1104883437">
      <w:bodyDiv w:val="1"/>
      <w:marLeft w:val="0"/>
      <w:marRight w:val="0"/>
      <w:marTop w:val="0"/>
      <w:marBottom w:val="0"/>
      <w:divBdr>
        <w:top w:val="none" w:sz="0" w:space="0" w:color="auto"/>
        <w:left w:val="none" w:sz="0" w:space="0" w:color="auto"/>
        <w:bottom w:val="none" w:sz="0" w:space="0" w:color="auto"/>
        <w:right w:val="none" w:sz="0" w:space="0" w:color="auto"/>
      </w:divBdr>
    </w:div>
    <w:div w:id="1122577589">
      <w:bodyDiv w:val="1"/>
      <w:marLeft w:val="0"/>
      <w:marRight w:val="0"/>
      <w:marTop w:val="0"/>
      <w:marBottom w:val="0"/>
      <w:divBdr>
        <w:top w:val="none" w:sz="0" w:space="0" w:color="auto"/>
        <w:left w:val="none" w:sz="0" w:space="0" w:color="auto"/>
        <w:bottom w:val="none" w:sz="0" w:space="0" w:color="auto"/>
        <w:right w:val="none" w:sz="0" w:space="0" w:color="auto"/>
      </w:divBdr>
    </w:div>
    <w:div w:id="1124427987">
      <w:bodyDiv w:val="1"/>
      <w:marLeft w:val="0"/>
      <w:marRight w:val="0"/>
      <w:marTop w:val="0"/>
      <w:marBottom w:val="0"/>
      <w:divBdr>
        <w:top w:val="none" w:sz="0" w:space="0" w:color="auto"/>
        <w:left w:val="none" w:sz="0" w:space="0" w:color="auto"/>
        <w:bottom w:val="none" w:sz="0" w:space="0" w:color="auto"/>
        <w:right w:val="none" w:sz="0" w:space="0" w:color="auto"/>
      </w:divBdr>
    </w:div>
    <w:div w:id="1177185630">
      <w:bodyDiv w:val="1"/>
      <w:marLeft w:val="0"/>
      <w:marRight w:val="0"/>
      <w:marTop w:val="0"/>
      <w:marBottom w:val="0"/>
      <w:divBdr>
        <w:top w:val="none" w:sz="0" w:space="0" w:color="auto"/>
        <w:left w:val="none" w:sz="0" w:space="0" w:color="auto"/>
        <w:bottom w:val="none" w:sz="0" w:space="0" w:color="auto"/>
        <w:right w:val="none" w:sz="0" w:space="0" w:color="auto"/>
      </w:divBdr>
    </w:div>
    <w:div w:id="1187014109">
      <w:bodyDiv w:val="1"/>
      <w:marLeft w:val="0"/>
      <w:marRight w:val="0"/>
      <w:marTop w:val="0"/>
      <w:marBottom w:val="0"/>
      <w:divBdr>
        <w:top w:val="none" w:sz="0" w:space="0" w:color="auto"/>
        <w:left w:val="none" w:sz="0" w:space="0" w:color="auto"/>
        <w:bottom w:val="none" w:sz="0" w:space="0" w:color="auto"/>
        <w:right w:val="none" w:sz="0" w:space="0" w:color="auto"/>
      </w:divBdr>
    </w:div>
    <w:div w:id="1202127650">
      <w:bodyDiv w:val="1"/>
      <w:marLeft w:val="0"/>
      <w:marRight w:val="0"/>
      <w:marTop w:val="0"/>
      <w:marBottom w:val="0"/>
      <w:divBdr>
        <w:top w:val="none" w:sz="0" w:space="0" w:color="auto"/>
        <w:left w:val="none" w:sz="0" w:space="0" w:color="auto"/>
        <w:bottom w:val="none" w:sz="0" w:space="0" w:color="auto"/>
        <w:right w:val="none" w:sz="0" w:space="0" w:color="auto"/>
      </w:divBdr>
    </w:div>
    <w:div w:id="1209804954">
      <w:bodyDiv w:val="1"/>
      <w:marLeft w:val="0"/>
      <w:marRight w:val="0"/>
      <w:marTop w:val="0"/>
      <w:marBottom w:val="0"/>
      <w:divBdr>
        <w:top w:val="none" w:sz="0" w:space="0" w:color="auto"/>
        <w:left w:val="none" w:sz="0" w:space="0" w:color="auto"/>
        <w:bottom w:val="none" w:sz="0" w:space="0" w:color="auto"/>
        <w:right w:val="none" w:sz="0" w:space="0" w:color="auto"/>
      </w:divBdr>
    </w:div>
    <w:div w:id="1210530512">
      <w:bodyDiv w:val="1"/>
      <w:marLeft w:val="0"/>
      <w:marRight w:val="0"/>
      <w:marTop w:val="0"/>
      <w:marBottom w:val="0"/>
      <w:divBdr>
        <w:top w:val="none" w:sz="0" w:space="0" w:color="auto"/>
        <w:left w:val="none" w:sz="0" w:space="0" w:color="auto"/>
        <w:bottom w:val="none" w:sz="0" w:space="0" w:color="auto"/>
        <w:right w:val="none" w:sz="0" w:space="0" w:color="auto"/>
      </w:divBdr>
    </w:div>
    <w:div w:id="1220435390">
      <w:bodyDiv w:val="1"/>
      <w:marLeft w:val="0"/>
      <w:marRight w:val="0"/>
      <w:marTop w:val="0"/>
      <w:marBottom w:val="0"/>
      <w:divBdr>
        <w:top w:val="none" w:sz="0" w:space="0" w:color="auto"/>
        <w:left w:val="none" w:sz="0" w:space="0" w:color="auto"/>
        <w:bottom w:val="none" w:sz="0" w:space="0" w:color="auto"/>
        <w:right w:val="none" w:sz="0" w:space="0" w:color="auto"/>
      </w:divBdr>
    </w:div>
    <w:div w:id="1238906154">
      <w:bodyDiv w:val="1"/>
      <w:marLeft w:val="0"/>
      <w:marRight w:val="0"/>
      <w:marTop w:val="0"/>
      <w:marBottom w:val="0"/>
      <w:divBdr>
        <w:top w:val="none" w:sz="0" w:space="0" w:color="auto"/>
        <w:left w:val="none" w:sz="0" w:space="0" w:color="auto"/>
        <w:bottom w:val="none" w:sz="0" w:space="0" w:color="auto"/>
        <w:right w:val="none" w:sz="0" w:space="0" w:color="auto"/>
      </w:divBdr>
    </w:div>
    <w:div w:id="1308822981">
      <w:bodyDiv w:val="1"/>
      <w:marLeft w:val="0"/>
      <w:marRight w:val="0"/>
      <w:marTop w:val="0"/>
      <w:marBottom w:val="0"/>
      <w:divBdr>
        <w:top w:val="none" w:sz="0" w:space="0" w:color="auto"/>
        <w:left w:val="none" w:sz="0" w:space="0" w:color="auto"/>
        <w:bottom w:val="none" w:sz="0" w:space="0" w:color="auto"/>
        <w:right w:val="none" w:sz="0" w:space="0" w:color="auto"/>
      </w:divBdr>
    </w:div>
    <w:div w:id="1313801041">
      <w:bodyDiv w:val="1"/>
      <w:marLeft w:val="0"/>
      <w:marRight w:val="0"/>
      <w:marTop w:val="0"/>
      <w:marBottom w:val="0"/>
      <w:divBdr>
        <w:top w:val="none" w:sz="0" w:space="0" w:color="auto"/>
        <w:left w:val="none" w:sz="0" w:space="0" w:color="auto"/>
        <w:bottom w:val="none" w:sz="0" w:space="0" w:color="auto"/>
        <w:right w:val="none" w:sz="0" w:space="0" w:color="auto"/>
      </w:divBdr>
    </w:div>
    <w:div w:id="1320575963">
      <w:bodyDiv w:val="1"/>
      <w:marLeft w:val="0"/>
      <w:marRight w:val="0"/>
      <w:marTop w:val="0"/>
      <w:marBottom w:val="0"/>
      <w:divBdr>
        <w:top w:val="none" w:sz="0" w:space="0" w:color="auto"/>
        <w:left w:val="none" w:sz="0" w:space="0" w:color="auto"/>
        <w:bottom w:val="none" w:sz="0" w:space="0" w:color="auto"/>
        <w:right w:val="none" w:sz="0" w:space="0" w:color="auto"/>
      </w:divBdr>
    </w:div>
    <w:div w:id="1382242147">
      <w:bodyDiv w:val="1"/>
      <w:marLeft w:val="0"/>
      <w:marRight w:val="0"/>
      <w:marTop w:val="0"/>
      <w:marBottom w:val="0"/>
      <w:divBdr>
        <w:top w:val="none" w:sz="0" w:space="0" w:color="auto"/>
        <w:left w:val="none" w:sz="0" w:space="0" w:color="auto"/>
        <w:bottom w:val="none" w:sz="0" w:space="0" w:color="auto"/>
        <w:right w:val="none" w:sz="0" w:space="0" w:color="auto"/>
      </w:divBdr>
    </w:div>
    <w:div w:id="1390611470">
      <w:bodyDiv w:val="1"/>
      <w:marLeft w:val="0"/>
      <w:marRight w:val="0"/>
      <w:marTop w:val="0"/>
      <w:marBottom w:val="0"/>
      <w:divBdr>
        <w:top w:val="none" w:sz="0" w:space="0" w:color="auto"/>
        <w:left w:val="none" w:sz="0" w:space="0" w:color="auto"/>
        <w:bottom w:val="none" w:sz="0" w:space="0" w:color="auto"/>
        <w:right w:val="none" w:sz="0" w:space="0" w:color="auto"/>
      </w:divBdr>
    </w:div>
    <w:div w:id="1523936032">
      <w:bodyDiv w:val="1"/>
      <w:marLeft w:val="0"/>
      <w:marRight w:val="0"/>
      <w:marTop w:val="0"/>
      <w:marBottom w:val="0"/>
      <w:divBdr>
        <w:top w:val="none" w:sz="0" w:space="0" w:color="auto"/>
        <w:left w:val="none" w:sz="0" w:space="0" w:color="auto"/>
        <w:bottom w:val="none" w:sz="0" w:space="0" w:color="auto"/>
        <w:right w:val="none" w:sz="0" w:space="0" w:color="auto"/>
      </w:divBdr>
    </w:div>
    <w:div w:id="1555115255">
      <w:bodyDiv w:val="1"/>
      <w:marLeft w:val="0"/>
      <w:marRight w:val="0"/>
      <w:marTop w:val="0"/>
      <w:marBottom w:val="0"/>
      <w:divBdr>
        <w:top w:val="none" w:sz="0" w:space="0" w:color="auto"/>
        <w:left w:val="none" w:sz="0" w:space="0" w:color="auto"/>
        <w:bottom w:val="none" w:sz="0" w:space="0" w:color="auto"/>
        <w:right w:val="none" w:sz="0" w:space="0" w:color="auto"/>
      </w:divBdr>
    </w:div>
    <w:div w:id="1577320605">
      <w:bodyDiv w:val="1"/>
      <w:marLeft w:val="0"/>
      <w:marRight w:val="0"/>
      <w:marTop w:val="0"/>
      <w:marBottom w:val="0"/>
      <w:divBdr>
        <w:top w:val="none" w:sz="0" w:space="0" w:color="auto"/>
        <w:left w:val="none" w:sz="0" w:space="0" w:color="auto"/>
        <w:bottom w:val="none" w:sz="0" w:space="0" w:color="auto"/>
        <w:right w:val="none" w:sz="0" w:space="0" w:color="auto"/>
      </w:divBdr>
    </w:div>
    <w:div w:id="1610695256">
      <w:bodyDiv w:val="1"/>
      <w:marLeft w:val="0"/>
      <w:marRight w:val="0"/>
      <w:marTop w:val="0"/>
      <w:marBottom w:val="0"/>
      <w:divBdr>
        <w:top w:val="none" w:sz="0" w:space="0" w:color="auto"/>
        <w:left w:val="none" w:sz="0" w:space="0" w:color="auto"/>
        <w:bottom w:val="none" w:sz="0" w:space="0" w:color="auto"/>
        <w:right w:val="none" w:sz="0" w:space="0" w:color="auto"/>
      </w:divBdr>
    </w:div>
    <w:div w:id="1681859077">
      <w:bodyDiv w:val="1"/>
      <w:marLeft w:val="0"/>
      <w:marRight w:val="0"/>
      <w:marTop w:val="0"/>
      <w:marBottom w:val="0"/>
      <w:divBdr>
        <w:top w:val="none" w:sz="0" w:space="0" w:color="auto"/>
        <w:left w:val="none" w:sz="0" w:space="0" w:color="auto"/>
        <w:bottom w:val="none" w:sz="0" w:space="0" w:color="auto"/>
        <w:right w:val="none" w:sz="0" w:space="0" w:color="auto"/>
      </w:divBdr>
    </w:div>
    <w:div w:id="1790510039">
      <w:bodyDiv w:val="1"/>
      <w:marLeft w:val="0"/>
      <w:marRight w:val="0"/>
      <w:marTop w:val="0"/>
      <w:marBottom w:val="0"/>
      <w:divBdr>
        <w:top w:val="none" w:sz="0" w:space="0" w:color="auto"/>
        <w:left w:val="none" w:sz="0" w:space="0" w:color="auto"/>
        <w:bottom w:val="none" w:sz="0" w:space="0" w:color="auto"/>
        <w:right w:val="none" w:sz="0" w:space="0" w:color="auto"/>
      </w:divBdr>
    </w:div>
    <w:div w:id="1831604738">
      <w:bodyDiv w:val="1"/>
      <w:marLeft w:val="0"/>
      <w:marRight w:val="0"/>
      <w:marTop w:val="0"/>
      <w:marBottom w:val="0"/>
      <w:divBdr>
        <w:top w:val="none" w:sz="0" w:space="0" w:color="auto"/>
        <w:left w:val="none" w:sz="0" w:space="0" w:color="auto"/>
        <w:bottom w:val="none" w:sz="0" w:space="0" w:color="auto"/>
        <w:right w:val="none" w:sz="0" w:space="0" w:color="auto"/>
      </w:divBdr>
    </w:div>
    <w:div w:id="1837384228">
      <w:bodyDiv w:val="1"/>
      <w:marLeft w:val="0"/>
      <w:marRight w:val="0"/>
      <w:marTop w:val="0"/>
      <w:marBottom w:val="0"/>
      <w:divBdr>
        <w:top w:val="none" w:sz="0" w:space="0" w:color="auto"/>
        <w:left w:val="none" w:sz="0" w:space="0" w:color="auto"/>
        <w:bottom w:val="none" w:sz="0" w:space="0" w:color="auto"/>
        <w:right w:val="none" w:sz="0" w:space="0" w:color="auto"/>
      </w:divBdr>
    </w:div>
    <w:div w:id="1893733609">
      <w:bodyDiv w:val="1"/>
      <w:marLeft w:val="0"/>
      <w:marRight w:val="0"/>
      <w:marTop w:val="0"/>
      <w:marBottom w:val="0"/>
      <w:divBdr>
        <w:top w:val="none" w:sz="0" w:space="0" w:color="auto"/>
        <w:left w:val="none" w:sz="0" w:space="0" w:color="auto"/>
        <w:bottom w:val="none" w:sz="0" w:space="0" w:color="auto"/>
        <w:right w:val="none" w:sz="0" w:space="0" w:color="auto"/>
      </w:divBdr>
    </w:div>
    <w:div w:id="1917087851">
      <w:bodyDiv w:val="1"/>
      <w:marLeft w:val="0"/>
      <w:marRight w:val="0"/>
      <w:marTop w:val="0"/>
      <w:marBottom w:val="0"/>
      <w:divBdr>
        <w:top w:val="none" w:sz="0" w:space="0" w:color="auto"/>
        <w:left w:val="none" w:sz="0" w:space="0" w:color="auto"/>
        <w:bottom w:val="none" w:sz="0" w:space="0" w:color="auto"/>
        <w:right w:val="none" w:sz="0" w:space="0" w:color="auto"/>
      </w:divBdr>
    </w:div>
    <w:div w:id="2002928679">
      <w:bodyDiv w:val="1"/>
      <w:marLeft w:val="0"/>
      <w:marRight w:val="0"/>
      <w:marTop w:val="0"/>
      <w:marBottom w:val="0"/>
      <w:divBdr>
        <w:top w:val="none" w:sz="0" w:space="0" w:color="auto"/>
        <w:left w:val="none" w:sz="0" w:space="0" w:color="auto"/>
        <w:bottom w:val="none" w:sz="0" w:space="0" w:color="auto"/>
        <w:right w:val="none" w:sz="0" w:space="0" w:color="auto"/>
      </w:divBdr>
    </w:div>
    <w:div w:id="2135441693">
      <w:bodyDiv w:val="1"/>
      <w:marLeft w:val="0"/>
      <w:marRight w:val="0"/>
      <w:marTop w:val="0"/>
      <w:marBottom w:val="0"/>
      <w:divBdr>
        <w:top w:val="none" w:sz="0" w:space="0" w:color="auto"/>
        <w:left w:val="none" w:sz="0" w:space="0" w:color="auto"/>
        <w:bottom w:val="none" w:sz="0" w:space="0" w:color="auto"/>
        <w:right w:val="none" w:sz="0" w:space="0" w:color="auto"/>
      </w:divBdr>
    </w:div>
    <w:div w:id="21412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hristel.schurrer@coe.int" TargetMode="External"/><Relationship Id="rId18" Type="http://schemas.openxmlformats.org/officeDocument/2006/relationships/hyperlink" Target="https://pace.coe.int/en/files/33941"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rm.coe.int/moneyval-2024-21-pl-5thround-2rdenhfur/1680b2ca7e" TargetMode="External"/><Relationship Id="rId7" Type="http://schemas.openxmlformats.org/officeDocument/2006/relationships/endnotes" Target="endnotes.xml"/><Relationship Id="rId12" Type="http://schemas.openxmlformats.org/officeDocument/2006/relationships/hyperlink" Target="https://rm.coe.int/poland-eu-scoreboard-country-fiches-2022-data/1680b065ff" TargetMode="External"/><Relationship Id="rId17" Type="http://schemas.openxmlformats.org/officeDocument/2006/relationships/hyperlink" Target="https://www.venice.coe.int/webforms/documents/default.aspx?pdffile=CDL-AD(2024)029-e"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venice.coe.int/webforms/documents/default.aspx?pdffile=CDL-PI(2024)033-bil" TargetMode="External"/><Relationship Id="rId20" Type="http://schemas.openxmlformats.org/officeDocument/2006/relationships/hyperlink" Target="https://rm.coe.int/moneyval-2023-24-pl-5thround-1stenhfur/1680ae829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m.coe.int/poland/1680b1df7b"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venice.coe.int/webforms/documents/default.aspx?pdffile=CDL-AD(2024)034-e" TargetMode="External"/><Relationship Id="rId23" Type="http://schemas.openxmlformats.org/officeDocument/2006/relationships/footer" Target="footer2.xml"/><Relationship Id="rId10" Type="http://schemas.openxmlformats.org/officeDocument/2006/relationships/hyperlink" Target="http://www.coe.int/en/web/cepej/cepej-stat" TargetMode="External"/><Relationship Id="rId19" Type="http://schemas.openxmlformats.org/officeDocument/2006/relationships/hyperlink" Target="https://rm.coe.int/implementation-of-judgments-of-the-european-court-of-human-rights-12th/1680ad0083" TargetMode="External"/><Relationship Id="rId4" Type="http://schemas.openxmlformats.org/officeDocument/2006/relationships/settings" Target="settings.xml"/><Relationship Id="rId9" Type="http://schemas.openxmlformats.org/officeDocument/2006/relationships/hyperlink" Target="https://rm.coe.int/cepej-evaluation-report-part-1-en-/1680b272ac" TargetMode="External"/><Relationship Id="rId14" Type="http://schemas.openxmlformats.org/officeDocument/2006/relationships/hyperlink" Target="https://www.venice.coe.int/webforms/documents/default.aspx?pdffile=CDL-AD(2024)035-e"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A2193-21D1-488E-8E72-FD0563183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962</Words>
  <Characters>5296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7</cp:revision>
  <dcterms:created xsi:type="dcterms:W3CDTF">2025-01-20T14:49:00Z</dcterms:created>
  <dcterms:modified xsi:type="dcterms:W3CDTF">2025-02-03T14:26:00Z</dcterms:modified>
</cp:coreProperties>
</file>